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778EB" w14:textId="4837DA10" w:rsidR="00375328" w:rsidRPr="002466E2" w:rsidRDefault="00375328" w:rsidP="00375328">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2466E2">
        <w:rPr>
          <w:rFonts w:eastAsia="MS Mincho" w:cs="Arial"/>
          <w:kern w:val="0"/>
          <w:sz w:val="24"/>
          <w:lang w:val="en-US" w:eastAsia="en-US"/>
        </w:rPr>
        <w:t>3GPP TSG-RAN1 #83</w:t>
      </w:r>
      <w:r w:rsidRPr="002466E2">
        <w:rPr>
          <w:rFonts w:eastAsia="MS Mincho" w:cs="Arial"/>
          <w:kern w:val="0"/>
          <w:sz w:val="24"/>
          <w:lang w:val="en-US" w:eastAsia="en-US"/>
        </w:rPr>
        <w:tab/>
      </w:r>
      <w:r w:rsidR="002466E2" w:rsidRPr="002466E2">
        <w:rPr>
          <w:rFonts w:eastAsia="MS Mincho" w:cs="Arial"/>
          <w:kern w:val="0"/>
          <w:sz w:val="24"/>
          <w:lang w:val="en-US" w:eastAsia="en-US"/>
        </w:rPr>
        <w:t>R1-157395</w:t>
      </w:r>
    </w:p>
    <w:p w14:paraId="0546A159" w14:textId="77777777" w:rsidR="00375328" w:rsidRPr="002466E2" w:rsidRDefault="00375328" w:rsidP="00375328">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466E2">
        <w:rPr>
          <w:rFonts w:eastAsia="MS Mincho" w:cs="Arial"/>
          <w:kern w:val="0"/>
          <w:sz w:val="24"/>
          <w:lang w:val="en-US" w:eastAsia="en-US"/>
        </w:rPr>
        <w:t>15th – 22th November 2015</w:t>
      </w:r>
    </w:p>
    <w:p w14:paraId="01A87BDF" w14:textId="77777777" w:rsidR="00375328" w:rsidRPr="00BD21BC" w:rsidRDefault="00375328" w:rsidP="00375328">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466E2">
        <w:rPr>
          <w:rFonts w:eastAsia="MS Mincho" w:cs="Arial"/>
          <w:kern w:val="0"/>
          <w:sz w:val="24"/>
          <w:lang w:val="en-US" w:eastAsia="en-US"/>
        </w:rPr>
        <w:t>Anaheim, US</w:t>
      </w:r>
    </w:p>
    <w:p w14:paraId="586D411C" w14:textId="37A4D7C1" w:rsidR="00BD21BC" w:rsidRPr="00B24337" w:rsidRDefault="00BD21BC" w:rsidP="00BD21BC">
      <w:pPr>
        <w:pStyle w:val="Title"/>
        <w:pBdr>
          <w:bottom w:val="single" w:sz="4" w:space="1" w:color="auto"/>
        </w:pBdr>
        <w:tabs>
          <w:tab w:val="left" w:pos="2085"/>
        </w:tabs>
        <w:spacing w:after="0"/>
        <w:jc w:val="left"/>
        <w:rPr>
          <w:rFonts w:cs="Arial"/>
          <w:lang w:val="en-US" w:eastAsia="ja-JP"/>
        </w:rPr>
      </w:pPr>
    </w:p>
    <w:p w14:paraId="7267C242" w14:textId="1D19B6F2"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3C7625B5"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13625C">
        <w:rPr>
          <w:rFonts w:cs="Arial"/>
          <w:b/>
          <w:sz w:val="24"/>
          <w:lang w:val="en-US"/>
        </w:rPr>
        <w:t>NB-</w:t>
      </w:r>
      <w:proofErr w:type="spellStart"/>
      <w:r w:rsidR="0013625C">
        <w:rPr>
          <w:rFonts w:cs="Arial"/>
          <w:b/>
          <w:sz w:val="24"/>
          <w:lang w:val="en-US"/>
        </w:rPr>
        <w:t>IoT</w:t>
      </w:r>
      <w:proofErr w:type="spellEnd"/>
      <w:r w:rsidR="00E50F87" w:rsidRPr="00E50F87">
        <w:rPr>
          <w:rFonts w:cs="Arial"/>
          <w:b/>
          <w:sz w:val="24"/>
          <w:lang w:val="en-US"/>
        </w:rPr>
        <w:t xml:space="preserve"> – </w:t>
      </w:r>
      <w:r w:rsidR="00741D42">
        <w:rPr>
          <w:rFonts w:cs="Arial"/>
          <w:b/>
          <w:sz w:val="24"/>
          <w:lang w:val="en-US"/>
        </w:rPr>
        <w:t>Base station complexity</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60E7B80" w:rsidR="00A675B4" w:rsidRPr="00AB12A0" w:rsidRDefault="00BD21BC" w:rsidP="00BD21BC">
      <w:pPr>
        <w:keepNext/>
        <w:tabs>
          <w:tab w:val="left" w:pos="2552"/>
        </w:tabs>
        <w:rPr>
          <w:lang w:val="en-US"/>
        </w:rPr>
      </w:pPr>
      <w:r w:rsidRPr="00AB12A0">
        <w:rPr>
          <w:rFonts w:cs="Arial"/>
          <w:b/>
          <w:sz w:val="24"/>
          <w:lang w:val="en-US"/>
        </w:rPr>
        <w:t xml:space="preserve">Agenda Item:         </w:t>
      </w:r>
      <w:r w:rsidRPr="00AB12A0">
        <w:rPr>
          <w:rFonts w:cs="Arial"/>
          <w:b/>
          <w:sz w:val="24"/>
          <w:lang w:val="en-US"/>
        </w:rPr>
        <w:tab/>
      </w:r>
      <w:r w:rsidR="002466E2" w:rsidRPr="002466E2">
        <w:rPr>
          <w:rFonts w:cs="Arial"/>
          <w:b/>
          <w:sz w:val="24"/>
          <w:lang w:val="en-US"/>
        </w:rPr>
        <w:t>6.2.6.1.1</w:t>
      </w:r>
      <w:r w:rsidR="00D13E68" w:rsidRPr="00AB12A0">
        <w:rPr>
          <w:lang w:val="en-US"/>
        </w:rPr>
        <w:tab/>
      </w:r>
    </w:p>
    <w:p w14:paraId="577D267A" w14:textId="77777777" w:rsidR="00683F57" w:rsidRPr="003A6896" w:rsidRDefault="00683F57" w:rsidP="00683F57">
      <w:pPr>
        <w:pStyle w:val="Heading1"/>
      </w:pPr>
      <w:bookmarkStart w:id="0" w:name="_Ref409106980"/>
      <w:r w:rsidRPr="00763114">
        <w:t>Introduction</w:t>
      </w:r>
      <w:bookmarkEnd w:id="0"/>
    </w:p>
    <w:p w14:paraId="20987661" w14:textId="0040F248" w:rsidR="00375328" w:rsidRPr="004B486D" w:rsidRDefault="00375328" w:rsidP="00375328">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0082676F">
        <w:rPr>
          <w:i/>
          <w:lang w:val="en-US"/>
        </w:rPr>
        <w:t>NarrowBand</w:t>
      </w:r>
      <w:proofErr w:type="spellEnd"/>
      <w:r w:rsidR="0082676F">
        <w:rPr>
          <w:i/>
          <w:lang w:val="en-US"/>
        </w:rPr>
        <w:t xml:space="preserve"> </w:t>
      </w:r>
      <w:proofErr w:type="spellStart"/>
      <w:r w:rsidR="0082676F">
        <w:rPr>
          <w:i/>
          <w:lang w:val="en-US"/>
        </w:rPr>
        <w:t>IoT</w:t>
      </w:r>
      <w:proofErr w:type="spellEnd"/>
      <w:r w:rsidR="0082676F">
        <w:rPr>
          <w:i/>
          <w:lang w:val="en-US"/>
        </w:rPr>
        <w:t xml:space="preserve"> (NB-</w:t>
      </w:r>
      <w:proofErr w:type="spellStart"/>
      <w:r w:rsidR="0082676F">
        <w:rPr>
          <w:i/>
          <w:lang w:val="en-US"/>
        </w:rPr>
        <w:t>Io</w:t>
      </w:r>
      <w:r w:rsidRPr="00D9057B">
        <w:rPr>
          <w:i/>
          <w:lang w:val="en-US"/>
        </w:rPr>
        <w:t>T</w:t>
      </w:r>
      <w:proofErr w:type="spellEnd"/>
      <w:r w:rsidRPr="00D9057B">
        <w:rPr>
          <w:i/>
          <w:lang w:val="en-US"/>
        </w:rPr>
        <w:t>)</w:t>
      </w:r>
      <w:r>
        <w:rPr>
          <w:lang w:val="en-US"/>
        </w:rPr>
        <w:t xml:space="preserve"> was approved, see</w:t>
      </w:r>
      <w:r w:rsidR="00771584">
        <w:rPr>
          <w:lang w:val="en-US"/>
        </w:rPr>
        <w:t xml:space="preserve"> </w:t>
      </w:r>
      <w:r w:rsidR="00771584">
        <w:rPr>
          <w:lang w:val="en-US"/>
        </w:rPr>
        <w:fldChar w:fldCharType="begin"/>
      </w:r>
      <w:r w:rsidR="00771584">
        <w:rPr>
          <w:lang w:val="en-US"/>
        </w:rPr>
        <w:instrText xml:space="preserve"> REF _Ref434582159 \n \h </w:instrText>
      </w:r>
      <w:r w:rsidR="00771584">
        <w:rPr>
          <w:lang w:val="en-US"/>
        </w:rPr>
      </w:r>
      <w:r w:rsidR="00771584">
        <w:rPr>
          <w:lang w:val="en-US"/>
        </w:rPr>
        <w:fldChar w:fldCharType="separate"/>
      </w:r>
      <w:r w:rsidR="00746B57">
        <w:rPr>
          <w:lang w:val="en-US"/>
        </w:rPr>
        <w:t>[1]</w:t>
      </w:r>
      <w:r w:rsidR="00771584">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4022D86" w14:textId="5937895F" w:rsidR="00375328" w:rsidRPr="004B486D" w:rsidRDefault="0082676F" w:rsidP="00375328">
      <w:pPr>
        <w:pStyle w:val="BodyText"/>
        <w:rPr>
          <w:lang w:val="en-US"/>
        </w:rPr>
      </w:pPr>
      <w:r>
        <w:rPr>
          <w:lang w:val="en-US"/>
        </w:rPr>
        <w:t>NB-</w:t>
      </w:r>
      <w:proofErr w:type="spellStart"/>
      <w:r>
        <w:rPr>
          <w:lang w:val="en-US"/>
        </w:rPr>
        <w:t>Io</w:t>
      </w:r>
      <w:r w:rsidR="00375328" w:rsidRPr="004B486D">
        <w:rPr>
          <w:lang w:val="en-US"/>
        </w:rPr>
        <w:t>T</w:t>
      </w:r>
      <w:proofErr w:type="spellEnd"/>
      <w:r w:rsidR="00375328" w:rsidRPr="004B486D">
        <w:rPr>
          <w:lang w:val="en-US"/>
        </w:rPr>
        <w:t xml:space="preserve"> should support 3 different modes of operation: </w:t>
      </w:r>
    </w:p>
    <w:p w14:paraId="32992FB1" w14:textId="77777777" w:rsidR="00375328" w:rsidRPr="004B486D" w:rsidRDefault="00375328" w:rsidP="00375328">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39C7741D" w14:textId="77777777" w:rsidR="00375328" w:rsidRPr="004B486D" w:rsidRDefault="00375328" w:rsidP="00375328">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3BE5C12" w14:textId="77777777" w:rsidR="00375328" w:rsidRDefault="00375328" w:rsidP="00375328">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28DEE8B8" w14:textId="778F2A98" w:rsidR="00375328" w:rsidRPr="00DF438D" w:rsidRDefault="00375328" w:rsidP="00375328">
      <w:pPr>
        <w:pStyle w:val="BodyText"/>
        <w:rPr>
          <w:lang w:val="en-US"/>
        </w:rPr>
      </w:pPr>
      <w:r>
        <w:rPr>
          <w:lang w:val="en-US"/>
        </w:rPr>
        <w:t>Furthermore according to [1], NB-</w:t>
      </w:r>
      <w:proofErr w:type="spellStart"/>
      <w:r w:rsidR="0082676F">
        <w:rPr>
          <w:lang w:val="en-US"/>
        </w:rPr>
        <w:t>Io</w:t>
      </w:r>
      <w:r>
        <w:rPr>
          <w:lang w:val="en-US"/>
        </w:rPr>
        <w:t>T</w:t>
      </w:r>
      <w:proofErr w:type="spellEnd"/>
      <w:r>
        <w:rPr>
          <w:lang w:val="en-US"/>
        </w:rPr>
        <w:t xml:space="preserve"> should have a</w:t>
      </w:r>
      <w:r w:rsidRPr="004B486D">
        <w:rPr>
          <w:lang w:val="en-US"/>
        </w:rPr>
        <w:t xml:space="preserve"> single synchronization signal design for the different modes of operation, including techniques to handle overlap with legacy LTE signals</w:t>
      </w:r>
    </w:p>
    <w:p w14:paraId="0A92ADF1" w14:textId="19D8E25F" w:rsidR="00375328" w:rsidRDefault="00375328" w:rsidP="00375328">
      <w:pPr>
        <w:pStyle w:val="BodyText"/>
      </w:pPr>
      <w:r w:rsidRPr="00F01569">
        <w:t xml:space="preserve">A narrowband LTE based solution (called NB-LTE) was proposed and included in </w:t>
      </w:r>
      <w:r w:rsidR="00771584">
        <w:fldChar w:fldCharType="begin"/>
      </w:r>
      <w:r w:rsidR="00771584">
        <w:instrText xml:space="preserve"> REF _Ref434582236 \n \h </w:instrText>
      </w:r>
      <w:r w:rsidR="00771584">
        <w:fldChar w:fldCharType="separate"/>
      </w:r>
      <w:r w:rsidR="00746B57">
        <w:t>[3]</w:t>
      </w:r>
      <w:r w:rsidR="00771584">
        <w:fldChar w:fldCharType="end"/>
      </w:r>
      <w:r w:rsidR="00771584">
        <w:t xml:space="preserve"> </w:t>
      </w:r>
      <w:r w:rsidRPr="00F01569">
        <w:t>and is now und</w:t>
      </w:r>
      <w:r w:rsidR="0082676F">
        <w:t>er investigation under the NB-</w:t>
      </w:r>
      <w:proofErr w:type="spellStart"/>
      <w:r w:rsidR="0082676F">
        <w:t>Io</w:t>
      </w:r>
      <w:r w:rsidRPr="00F01569">
        <w:t>T</w:t>
      </w:r>
      <w:proofErr w:type="spellEnd"/>
      <w:r w:rsidRPr="00F01569">
        <w:t xml:space="preserve"> work item</w:t>
      </w:r>
      <w:r w:rsidR="00771584">
        <w:t xml:space="preserve"> </w:t>
      </w:r>
      <w:r w:rsidR="00771584">
        <w:fldChar w:fldCharType="begin"/>
      </w:r>
      <w:r w:rsidR="00771584">
        <w:instrText xml:space="preserve"> REF _Ref434582159 \n \h </w:instrText>
      </w:r>
      <w:r w:rsidR="00771584">
        <w:fldChar w:fldCharType="separate"/>
      </w:r>
      <w:r w:rsidR="00746B57">
        <w:t>[1]</w:t>
      </w:r>
      <w:r w:rsidR="00771584">
        <w:fldChar w:fldCharType="end"/>
      </w:r>
      <w:r w:rsidRPr="00F01569">
        <w:t xml:space="preserve">. </w:t>
      </w:r>
    </w:p>
    <w:p w14:paraId="6C707543" w14:textId="3FE7DA1C" w:rsidR="00AC3B3A" w:rsidRPr="00FD4B94" w:rsidRDefault="00AC3B3A" w:rsidP="00375328">
      <w:pPr>
        <w:pStyle w:val="BodyText"/>
        <w:rPr>
          <w:rFonts w:ascii="Times New Roman" w:hAnsi="Times New Roman"/>
          <w:i/>
        </w:rPr>
      </w:pPr>
      <w:r w:rsidRPr="00FD4B94">
        <w:rPr>
          <w:rFonts w:ascii="Times New Roman" w:hAnsi="Times New Roman"/>
          <w:i/>
        </w:rPr>
        <w:t xml:space="preserve">In this contribution, </w:t>
      </w:r>
      <w:r w:rsidR="00880AB2" w:rsidRPr="00FD4B94">
        <w:rPr>
          <w:rFonts w:ascii="Times New Roman" w:hAnsi="Times New Roman"/>
          <w:i/>
        </w:rPr>
        <w:t>we analyse the base station complexity of NB-</w:t>
      </w:r>
      <w:proofErr w:type="spellStart"/>
      <w:r w:rsidR="00880AB2" w:rsidRPr="00FD4B94">
        <w:rPr>
          <w:rFonts w:ascii="Times New Roman" w:hAnsi="Times New Roman"/>
          <w:i/>
        </w:rPr>
        <w:t>IoT</w:t>
      </w:r>
      <w:proofErr w:type="spellEnd"/>
      <w:r w:rsidR="00880AB2" w:rsidRPr="00FD4B94">
        <w:rPr>
          <w:rFonts w:ascii="Times New Roman" w:hAnsi="Times New Roman"/>
          <w:i/>
        </w:rPr>
        <w:t xml:space="preserve"> candidates. A frequency reuse 1/1 is used for all options in order to give a fair </w:t>
      </w:r>
      <w:r w:rsidR="004D2A7E" w:rsidRPr="00FD4B94">
        <w:rPr>
          <w:rFonts w:ascii="Times New Roman" w:hAnsi="Times New Roman"/>
          <w:i/>
        </w:rPr>
        <w:t>comparison</w:t>
      </w:r>
      <w:r w:rsidR="00880AB2" w:rsidRPr="00FD4B94">
        <w:rPr>
          <w:rFonts w:ascii="Times New Roman" w:hAnsi="Times New Roman"/>
          <w:i/>
        </w:rPr>
        <w:t xml:space="preserve">. </w:t>
      </w:r>
    </w:p>
    <w:p w14:paraId="4058AE25" w14:textId="45DB40F6" w:rsidR="002C6DB8" w:rsidRDefault="0082676F" w:rsidP="00F00A2C">
      <w:pPr>
        <w:pStyle w:val="Heading1"/>
      </w:pPr>
      <w:r>
        <w:t>General Discussions</w:t>
      </w:r>
    </w:p>
    <w:p w14:paraId="0757EC0C" w14:textId="5F642A92" w:rsidR="0082676F" w:rsidRDefault="0082676F" w:rsidP="0082676F">
      <w:r>
        <w:t>In the NB-</w:t>
      </w:r>
      <w:proofErr w:type="spellStart"/>
      <w:r>
        <w:t>IoT</w:t>
      </w:r>
      <w:proofErr w:type="spellEnd"/>
      <w:r>
        <w:t xml:space="preserve"> work item description [1], OFDMA on the downlink with two different subcarrier spacing numerologies, i.e., 3.75 kHz and 15 </w:t>
      </w:r>
      <w:proofErr w:type="gramStart"/>
      <w:r>
        <w:t>kHz,</w:t>
      </w:r>
      <w:proofErr w:type="gramEnd"/>
      <w:r>
        <w:t xml:space="preserve"> will be considered. For the uplink, FDMA with GMSK modulation, and </w:t>
      </w:r>
      <w:r w:rsidRPr="0082676F">
        <w:t>SC-FDMA (including single-tone transmission as a special case of SC-FDMA)</w:t>
      </w:r>
      <w:r>
        <w:t xml:space="preserve"> will be considered. </w:t>
      </w:r>
    </w:p>
    <w:p w14:paraId="20C207E5" w14:textId="080E674C" w:rsidR="0082676F" w:rsidRPr="0082676F" w:rsidRDefault="00F25FD8" w:rsidP="0082676F">
      <w:r>
        <w:t xml:space="preserve">In </w:t>
      </w:r>
      <w:r>
        <w:fldChar w:fldCharType="begin"/>
      </w:r>
      <w:r>
        <w:instrText xml:space="preserve"> REF _Ref434584538 \n \h </w:instrText>
      </w:r>
      <w:r>
        <w:fldChar w:fldCharType="separate"/>
      </w:r>
      <w:r w:rsidR="00746B57">
        <w:t>[3]</w:t>
      </w:r>
      <w:r>
        <w:fldChar w:fldCharType="end"/>
      </w:r>
      <w:r w:rsidR="0082676F">
        <w:t>, some discussions of the BS complexities are given. However</w:t>
      </w:r>
      <w:r w:rsidR="004D2A7E">
        <w:t xml:space="preserve">, the discussions in </w:t>
      </w:r>
      <w:r>
        <w:fldChar w:fldCharType="begin"/>
      </w:r>
      <w:r>
        <w:instrText xml:space="preserve"> REF _Ref434584538 \n \h </w:instrText>
      </w:r>
      <w:r>
        <w:fldChar w:fldCharType="separate"/>
      </w:r>
      <w:r w:rsidR="00746B57">
        <w:t>[3]</w:t>
      </w:r>
      <w:r>
        <w:fldChar w:fldCharType="end"/>
      </w:r>
      <w:r>
        <w:t xml:space="preserve"> exclude</w:t>
      </w:r>
      <w:r w:rsidR="004D2A7E">
        <w:t xml:space="preserve"> some of the design choices at the BS sides that can be implemented efficiently for the SC-FDMA based UL design, as well as the OFDMA downlink design with 15 kHz subcarrier spacing. In this contribution, we outline </w:t>
      </w:r>
      <w:r>
        <w:t>some</w:t>
      </w:r>
      <w:r w:rsidR="004D2A7E">
        <w:t xml:space="preserve"> </w:t>
      </w:r>
      <w:r>
        <w:t>more efficient</w:t>
      </w:r>
      <w:r w:rsidR="004D2A7E">
        <w:t xml:space="preserve"> designs </w:t>
      </w:r>
      <w:r>
        <w:t xml:space="preserve">alternatives to the ones </w:t>
      </w:r>
      <w:r>
        <w:fldChar w:fldCharType="begin"/>
      </w:r>
      <w:r>
        <w:instrText xml:space="preserve"> REF _Ref434584538 \n \h </w:instrText>
      </w:r>
      <w:r>
        <w:fldChar w:fldCharType="separate"/>
      </w:r>
      <w:r w:rsidR="00746B57">
        <w:t>[3]</w:t>
      </w:r>
      <w:r>
        <w:fldChar w:fldCharType="end"/>
      </w:r>
      <w:r>
        <w:t xml:space="preserve">, and analyse the base station complexity accordingly. </w:t>
      </w:r>
    </w:p>
    <w:p w14:paraId="1234B528" w14:textId="73D8E700" w:rsidR="0082676F" w:rsidRPr="004D2A7E" w:rsidRDefault="004D2A7E" w:rsidP="0082676F">
      <w:pPr>
        <w:rPr>
          <w:vertAlign w:val="superscript"/>
        </w:rPr>
      </w:pPr>
      <w:r>
        <w:t xml:space="preserve">Note, in this contribution the FFT algorithm is based on the </w:t>
      </w:r>
      <w:r w:rsidR="00F25FD8">
        <w:t xml:space="preserve">split radix algorithm </w:t>
      </w:r>
      <w:r w:rsidR="00F25FD8">
        <w:fldChar w:fldCharType="begin"/>
      </w:r>
      <w:r w:rsidR="00F25FD8">
        <w:instrText xml:space="preserve"> REF _Ref426031100 \n \h </w:instrText>
      </w:r>
      <w:r w:rsidR="00F25FD8">
        <w:fldChar w:fldCharType="separate"/>
      </w:r>
      <w:r w:rsidR="00746B57">
        <w:t>[5]</w:t>
      </w:r>
      <w:r w:rsidR="00F25FD8">
        <w:fldChar w:fldCharType="end"/>
      </w:r>
      <w:r w:rsidRPr="004D2A7E">
        <w:t xml:space="preserve"> of </w:t>
      </w:r>
      <w:proofErr w:type="spellStart"/>
      <w:r w:rsidRPr="004D2A7E">
        <w:t>Yavne</w:t>
      </w:r>
      <w:proofErr w:type="spellEnd"/>
      <w:r>
        <w:t>. This</w:t>
      </w:r>
      <w:r w:rsidR="00F25FD8">
        <w:t xml:space="preserve"> algorithm is also used in </w:t>
      </w:r>
      <w:r w:rsidR="00F25FD8">
        <w:fldChar w:fldCharType="begin"/>
      </w:r>
      <w:r w:rsidR="00F25FD8">
        <w:instrText xml:space="preserve"> REF _Ref434584538 \n \h </w:instrText>
      </w:r>
      <w:r w:rsidR="00F25FD8">
        <w:fldChar w:fldCharType="separate"/>
      </w:r>
      <w:r w:rsidR="00746B57">
        <w:t>[3]</w:t>
      </w:r>
      <w:r w:rsidR="00F25FD8">
        <w:fldChar w:fldCharType="end"/>
      </w:r>
      <w:r>
        <w:t xml:space="preserve"> to calculate the complexity </w:t>
      </w:r>
      <w:r w:rsidR="0098139B">
        <w:t>of</w:t>
      </w:r>
      <w:r>
        <w:t xml:space="preserve"> FFT. In the </w:t>
      </w:r>
      <w:r w:rsidR="00F25FD8">
        <w:t xml:space="preserve">split radix algorithm </w:t>
      </w:r>
      <w:r w:rsidR="00F25FD8">
        <w:fldChar w:fldCharType="begin"/>
      </w:r>
      <w:r w:rsidR="00F25FD8">
        <w:instrText xml:space="preserve"> REF _Ref426031100 \n \h </w:instrText>
      </w:r>
      <w:r w:rsidR="00F25FD8">
        <w:fldChar w:fldCharType="separate"/>
      </w:r>
      <w:r w:rsidR="00746B57">
        <w:t>[5]</w:t>
      </w:r>
      <w:r w:rsidR="00F25FD8">
        <w:fldChar w:fldCharType="end"/>
      </w:r>
      <w:r w:rsidRPr="004D2A7E">
        <w:t xml:space="preserve"> of </w:t>
      </w:r>
      <w:proofErr w:type="spellStart"/>
      <w:r w:rsidRPr="004D2A7E">
        <w:t>Yavne</w:t>
      </w:r>
      <w:proofErr w:type="spellEnd"/>
      <w:r>
        <w:t xml:space="preserve">, assuming </w:t>
      </w:r>
      <m:oMath>
        <m:sSup>
          <m:sSupPr>
            <m:ctrlPr>
              <w:rPr>
                <w:rFonts w:ascii="Cambria Math" w:hAnsi="Cambria Math"/>
                <w:i/>
              </w:rPr>
            </m:ctrlPr>
          </m:sSupPr>
          <m:e>
            <m:r>
              <w:rPr>
                <w:rFonts w:ascii="Cambria Math" w:hAnsi="Cambria Math"/>
              </w:rPr>
              <m:t>N=2</m:t>
            </m:r>
          </m:e>
          <m:sup>
            <m:r>
              <w:rPr>
                <w:rFonts w:ascii="Cambria Math" w:hAnsi="Cambria Math"/>
              </w:rPr>
              <m:t>v</m:t>
            </m:r>
          </m:sup>
        </m:sSup>
      </m:oMath>
      <w:r>
        <w:t xml:space="preserve"> point FFT is used, the number of real multiplications required </w:t>
      </w:r>
      <w:proofErr w:type="gramStart"/>
      <w:r w:rsidR="0098139B">
        <w:t xml:space="preserve">is </w:t>
      </w:r>
      <w:proofErr w:type="gramEnd"/>
      <m:oMath>
        <m:r>
          <w:rPr>
            <w:rFonts w:ascii="Cambria Math" w:hAnsi="Cambria Math"/>
          </w:rPr>
          <m:t>N</m:t>
        </m:r>
        <m:d>
          <m:dPr>
            <m:ctrlPr>
              <w:rPr>
                <w:rFonts w:ascii="Cambria Math" w:hAnsi="Cambria Math"/>
                <w:i/>
              </w:rPr>
            </m:ctrlPr>
          </m:dPr>
          <m:e>
            <m:r>
              <w:rPr>
                <w:rFonts w:ascii="Cambria Math" w:hAnsi="Cambria Math"/>
              </w:rPr>
              <m:t>v-3</m:t>
            </m:r>
          </m:e>
        </m:d>
        <m:r>
          <w:rPr>
            <w:rFonts w:ascii="Cambria Math" w:hAnsi="Cambria Math"/>
          </w:rPr>
          <m:t>+4</m:t>
        </m:r>
      </m:oMath>
      <w:r>
        <w:t xml:space="preserve">, and the number of real adds is </w:t>
      </w:r>
      <m:oMath>
        <m:r>
          <w:rPr>
            <w:rFonts w:ascii="Cambria Math" w:hAnsi="Cambria Math"/>
          </w:rPr>
          <m:t>3N</m:t>
        </m:r>
        <m:d>
          <m:dPr>
            <m:ctrlPr>
              <w:rPr>
                <w:rFonts w:ascii="Cambria Math" w:hAnsi="Cambria Math"/>
                <w:i/>
              </w:rPr>
            </m:ctrlPr>
          </m:dPr>
          <m:e>
            <m:r>
              <w:rPr>
                <w:rFonts w:ascii="Cambria Math" w:hAnsi="Cambria Math"/>
              </w:rPr>
              <m:t>v-1</m:t>
            </m:r>
          </m:e>
        </m:d>
        <m:r>
          <w:rPr>
            <w:rFonts w:ascii="Cambria Math" w:hAnsi="Cambria Math"/>
          </w:rPr>
          <m:t>+4</m:t>
        </m:r>
      </m:oMath>
      <w:r w:rsidR="004C4DD8">
        <w:t>.</w:t>
      </w:r>
    </w:p>
    <w:p w14:paraId="74F6C06C" w14:textId="2CEDFB34" w:rsidR="00F97D76" w:rsidRDefault="004C4DD8" w:rsidP="00F97D76">
      <w:pPr>
        <w:pStyle w:val="Heading1"/>
      </w:pPr>
      <w:r>
        <w:t>Transmitter side</w:t>
      </w:r>
    </w:p>
    <w:p w14:paraId="1D1AEC75" w14:textId="3DD9593F" w:rsidR="004C4DD8" w:rsidRDefault="004C4DD8" w:rsidP="004C4DD8">
      <w:pPr>
        <w:pStyle w:val="Heading2"/>
      </w:pPr>
      <w:r>
        <w:t>In-band and Guard-band deployment</w:t>
      </w:r>
    </w:p>
    <w:p w14:paraId="40CAC44B" w14:textId="48CC9933" w:rsidR="004C4DD8" w:rsidRDefault="004C4DD8" w:rsidP="004C4DD8">
      <w:r>
        <w:t>Since LTE use 15 kHz subcarrier spacing, for the in-band and guard-band deployment of NB-</w:t>
      </w:r>
      <w:proofErr w:type="spellStart"/>
      <w:r>
        <w:t>IoT</w:t>
      </w:r>
      <w:proofErr w:type="spellEnd"/>
      <w:r>
        <w:t xml:space="preserve"> system with 15 kHz subcarrier spacing can re-use the IFFT operation at the base station. Therefore, no increase over the LTE IFFT operation can be expected. Moreover, as the NB-</w:t>
      </w:r>
      <w:proofErr w:type="spellStart"/>
      <w:r>
        <w:t>IoT</w:t>
      </w:r>
      <w:proofErr w:type="spellEnd"/>
      <w:r>
        <w:t xml:space="preserve"> system with 15 kHz subcarrier </w:t>
      </w:r>
      <w:r>
        <w:lastRenderedPageBreak/>
        <w:t>spacing is orthogonal to the LTE system, no additional channel filtering or guard-spacing between the NB-</w:t>
      </w:r>
      <w:proofErr w:type="spellStart"/>
      <w:r>
        <w:t>IoT</w:t>
      </w:r>
      <w:proofErr w:type="spellEnd"/>
      <w:r>
        <w:t xml:space="preserve"> carrier and the LTE carrier are needed. </w:t>
      </w:r>
    </w:p>
    <w:p w14:paraId="0374F42D" w14:textId="3C7A6615" w:rsidR="004C4DD8" w:rsidRDefault="004C4DD8" w:rsidP="004C4DD8">
      <w:r>
        <w:t>For the NB-</w:t>
      </w:r>
      <w:proofErr w:type="spellStart"/>
      <w:r>
        <w:t>IoT</w:t>
      </w:r>
      <w:proofErr w:type="spellEnd"/>
      <w:r>
        <w:t xml:space="preserve"> system with 3.75 kHz subcarrier spacing, as it is not orthogonal to the LTE system, in the guard-band deployment, at least 200 kHz guard-spacing is needed between the NB-</w:t>
      </w:r>
      <w:proofErr w:type="spellStart"/>
      <w:r>
        <w:t>IoT</w:t>
      </w:r>
      <w:proofErr w:type="spellEnd"/>
      <w:r>
        <w:t xml:space="preserve"> carrier and LTE carrier</w:t>
      </w:r>
      <w:r w:rsidR="00A60050">
        <w:t xml:space="preserve"> </w:t>
      </w:r>
      <w:r w:rsidR="00A60050">
        <w:fldChar w:fldCharType="begin"/>
      </w:r>
      <w:r w:rsidR="00A60050">
        <w:instrText xml:space="preserve"> REF _Ref434585252 \n \h </w:instrText>
      </w:r>
      <w:r w:rsidR="00A60050">
        <w:fldChar w:fldCharType="separate"/>
      </w:r>
      <w:r w:rsidR="00746B57">
        <w:t>[6]</w:t>
      </w:r>
      <w:r w:rsidR="00A60050">
        <w:fldChar w:fldCharType="end"/>
      </w:r>
      <w:r>
        <w:t xml:space="preserve">. Furthermore, as the 3.75 kHz subcarrier spacing is not the same as the LTE system, a separate IFFT implementation is needed. As estimated </w:t>
      </w:r>
      <w:r w:rsidR="00A60050">
        <w:t xml:space="preserve">in </w:t>
      </w:r>
      <w:r w:rsidR="00A60050">
        <w:fldChar w:fldCharType="begin"/>
      </w:r>
      <w:r w:rsidR="00A60050">
        <w:instrText xml:space="preserve"> REF _Ref434584538 \n \h </w:instrText>
      </w:r>
      <w:r w:rsidR="00A60050">
        <w:fldChar w:fldCharType="separate"/>
      </w:r>
      <w:r w:rsidR="00746B57">
        <w:t>[3]</w:t>
      </w:r>
      <w:r w:rsidR="00A60050">
        <w:fldChar w:fldCharType="end"/>
      </w:r>
      <w:r w:rsidR="00165169" w:rsidRPr="00165169">
        <w:t>,</w:t>
      </w:r>
      <w:r w:rsidR="00165169">
        <w:t xml:space="preserve"> </w:t>
      </w:r>
      <w:r w:rsidR="00165169" w:rsidRPr="00165169">
        <w:t>3.944 million operations</w:t>
      </w:r>
      <w:r w:rsidR="00165169">
        <w:t xml:space="preserve"> per second are needed for the IFFT operation. If a 200 kHz guar</w:t>
      </w:r>
      <w:r w:rsidR="007176FB">
        <w:t>d</w:t>
      </w:r>
      <w:r w:rsidR="00165169">
        <w:t>-spacing is not available, e.g., in the guard-band of a 5 MHz LTE carrier, additional channel filtering may also be required. At this moment, it is not certain how to deploy a NB-</w:t>
      </w:r>
      <w:proofErr w:type="spellStart"/>
      <w:r w:rsidR="00165169">
        <w:t>IoT</w:t>
      </w:r>
      <w:proofErr w:type="spellEnd"/>
      <w:r w:rsidR="00165169">
        <w:t xml:space="preserve"> carrier with subcarrier spacing of 3.75 kHz in-band</w:t>
      </w:r>
      <w:r w:rsidR="007176FB">
        <w:t>.</w:t>
      </w:r>
    </w:p>
    <w:p w14:paraId="5313083B" w14:textId="526C08EA" w:rsidR="007176FB" w:rsidRDefault="007176FB" w:rsidP="004C4DD8">
      <w:r>
        <w:t>As the transport block size in NB-</w:t>
      </w:r>
      <w:proofErr w:type="spellStart"/>
      <w:r>
        <w:t>IoT</w:t>
      </w:r>
      <w:proofErr w:type="spellEnd"/>
      <w:r>
        <w:t xml:space="preserve"> system is much smaller than the LTE system. Therefore, NB-</w:t>
      </w:r>
      <w:proofErr w:type="spellStart"/>
      <w:r>
        <w:t>IoT</w:t>
      </w:r>
      <w:proofErr w:type="spellEnd"/>
      <w:r>
        <w:t xml:space="preserve"> system requires much less memory than the LTE. </w:t>
      </w:r>
    </w:p>
    <w:p w14:paraId="1FF882D8" w14:textId="394999AB" w:rsidR="007176FB" w:rsidRDefault="007176FB" w:rsidP="004C4DD8">
      <w:pPr>
        <w:rPr>
          <w:rFonts w:ascii="Times New Roman" w:hAnsi="Times New Roman"/>
          <w:i/>
        </w:rPr>
      </w:pPr>
      <w:r w:rsidRPr="007176FB">
        <w:rPr>
          <w:rFonts w:ascii="Times New Roman" w:hAnsi="Times New Roman"/>
          <w:i/>
        </w:rPr>
        <w:t xml:space="preserve">Observation </w:t>
      </w:r>
      <w:r>
        <w:rPr>
          <w:rFonts w:ascii="Times New Roman" w:hAnsi="Times New Roman"/>
          <w:i/>
        </w:rPr>
        <w:t>1</w:t>
      </w:r>
      <w:r w:rsidRPr="007176FB">
        <w:rPr>
          <w:rFonts w:ascii="Times New Roman" w:hAnsi="Times New Roman"/>
          <w:i/>
        </w:rPr>
        <w:t xml:space="preserve">: </w:t>
      </w:r>
      <w:r w:rsidR="00A60050">
        <w:rPr>
          <w:rFonts w:ascii="Times New Roman" w:hAnsi="Times New Roman"/>
          <w:i/>
        </w:rPr>
        <w:t>Supporting</w:t>
      </w:r>
      <w:r>
        <w:rPr>
          <w:rFonts w:ascii="Times New Roman" w:hAnsi="Times New Roman"/>
          <w:i/>
        </w:rPr>
        <w:t xml:space="preserve"> </w:t>
      </w:r>
      <w:r w:rsidRPr="007176FB">
        <w:rPr>
          <w:rFonts w:ascii="Times New Roman" w:hAnsi="Times New Roman"/>
          <w:i/>
        </w:rPr>
        <w:t>NB-</w:t>
      </w:r>
      <w:proofErr w:type="spellStart"/>
      <w:r w:rsidRPr="007176FB">
        <w:rPr>
          <w:rFonts w:ascii="Times New Roman" w:hAnsi="Times New Roman"/>
          <w:i/>
        </w:rPr>
        <w:t>IoT</w:t>
      </w:r>
      <w:proofErr w:type="spellEnd"/>
      <w:r w:rsidRPr="007176FB">
        <w:rPr>
          <w:rFonts w:ascii="Times New Roman" w:hAnsi="Times New Roman"/>
          <w:i/>
        </w:rPr>
        <w:t xml:space="preserve"> system with 3.75 kHz subcarrier spacing</w:t>
      </w:r>
      <w:r>
        <w:rPr>
          <w:rFonts w:ascii="Times New Roman" w:hAnsi="Times New Roman"/>
          <w:i/>
        </w:rPr>
        <w:t xml:space="preserve"> is more costly than supporting </w:t>
      </w:r>
      <w:r w:rsidRPr="007176FB">
        <w:rPr>
          <w:rFonts w:ascii="Times New Roman" w:hAnsi="Times New Roman"/>
          <w:i/>
        </w:rPr>
        <w:t>NB-</w:t>
      </w:r>
      <w:proofErr w:type="spellStart"/>
      <w:r w:rsidRPr="007176FB">
        <w:rPr>
          <w:rFonts w:ascii="Times New Roman" w:hAnsi="Times New Roman"/>
          <w:i/>
        </w:rPr>
        <w:t>IoT</w:t>
      </w:r>
      <w:proofErr w:type="spellEnd"/>
      <w:r w:rsidRPr="007176FB">
        <w:rPr>
          <w:rFonts w:ascii="Times New Roman" w:hAnsi="Times New Roman"/>
          <w:i/>
        </w:rPr>
        <w:t xml:space="preserve"> system with </w:t>
      </w:r>
      <w:r>
        <w:rPr>
          <w:rFonts w:ascii="Times New Roman" w:hAnsi="Times New Roman"/>
          <w:i/>
        </w:rPr>
        <w:t>15</w:t>
      </w:r>
      <w:r w:rsidRPr="007176FB">
        <w:rPr>
          <w:rFonts w:ascii="Times New Roman" w:hAnsi="Times New Roman"/>
          <w:i/>
        </w:rPr>
        <w:t xml:space="preserve"> kHz subcarrier spacing</w:t>
      </w:r>
      <w:r>
        <w:rPr>
          <w:rFonts w:ascii="Times New Roman" w:hAnsi="Times New Roman"/>
          <w:i/>
        </w:rPr>
        <w:t xml:space="preserve"> in the guard-band deployment. </w:t>
      </w:r>
      <w:r w:rsidRPr="007176FB">
        <w:rPr>
          <w:rFonts w:ascii="Times New Roman" w:hAnsi="Times New Roman"/>
          <w:i/>
        </w:rPr>
        <w:t xml:space="preserve">Due to lacking of </w:t>
      </w:r>
      <w:r w:rsidR="00A60050" w:rsidRPr="007176FB">
        <w:rPr>
          <w:rFonts w:ascii="Times New Roman" w:hAnsi="Times New Roman"/>
          <w:i/>
        </w:rPr>
        <w:t>information</w:t>
      </w:r>
      <w:r w:rsidR="00A60050">
        <w:rPr>
          <w:rFonts w:ascii="Times New Roman" w:hAnsi="Times New Roman"/>
          <w:i/>
        </w:rPr>
        <w:t xml:space="preserve">, the </w:t>
      </w:r>
      <w:r w:rsidR="00A60050" w:rsidRPr="007176FB">
        <w:rPr>
          <w:rFonts w:ascii="Times New Roman" w:hAnsi="Times New Roman"/>
          <w:i/>
        </w:rPr>
        <w:t>cost</w:t>
      </w:r>
      <w:r w:rsidRPr="007176FB">
        <w:rPr>
          <w:rFonts w:ascii="Times New Roman" w:hAnsi="Times New Roman"/>
          <w:i/>
        </w:rPr>
        <w:t xml:space="preserve"> of deploy</w:t>
      </w:r>
      <w:r w:rsidR="00A60050">
        <w:rPr>
          <w:rFonts w:ascii="Times New Roman" w:hAnsi="Times New Roman"/>
          <w:i/>
        </w:rPr>
        <w:t>ing</w:t>
      </w:r>
      <w:r w:rsidRPr="007176FB">
        <w:rPr>
          <w:rFonts w:ascii="Times New Roman" w:hAnsi="Times New Roman"/>
          <w:i/>
        </w:rPr>
        <w:t xml:space="preserve"> NB-</w:t>
      </w:r>
      <w:proofErr w:type="spellStart"/>
      <w:r w:rsidRPr="007176FB">
        <w:rPr>
          <w:rFonts w:ascii="Times New Roman" w:hAnsi="Times New Roman"/>
          <w:i/>
        </w:rPr>
        <w:t>IoT</w:t>
      </w:r>
      <w:proofErr w:type="spellEnd"/>
      <w:r w:rsidRPr="007176FB">
        <w:rPr>
          <w:rFonts w:ascii="Times New Roman" w:hAnsi="Times New Roman"/>
          <w:i/>
        </w:rPr>
        <w:t xml:space="preserve"> system with 3.75 kHz subcarrier spacing cannot be estimated</w:t>
      </w:r>
      <w:r w:rsidR="00A60050">
        <w:rPr>
          <w:rFonts w:ascii="Times New Roman" w:hAnsi="Times New Roman"/>
          <w:i/>
        </w:rPr>
        <w:t xml:space="preserve"> yet</w:t>
      </w:r>
      <w:r w:rsidRPr="007176FB">
        <w:rPr>
          <w:rFonts w:ascii="Times New Roman" w:hAnsi="Times New Roman"/>
          <w:i/>
        </w:rPr>
        <w:t>.</w:t>
      </w:r>
    </w:p>
    <w:p w14:paraId="5683D276" w14:textId="0AC52AB9" w:rsidR="00165169" w:rsidRDefault="00165169" w:rsidP="004C4DD8">
      <w:pPr>
        <w:rPr>
          <w:rFonts w:ascii="Times New Roman" w:hAnsi="Times New Roman"/>
          <w:i/>
        </w:rPr>
      </w:pPr>
      <w:r w:rsidRPr="00165169">
        <w:rPr>
          <w:rFonts w:ascii="Times New Roman" w:hAnsi="Times New Roman"/>
          <w:i/>
        </w:rPr>
        <w:t xml:space="preserve">Observation </w:t>
      </w:r>
      <w:r w:rsidR="007176FB">
        <w:rPr>
          <w:rFonts w:ascii="Times New Roman" w:hAnsi="Times New Roman"/>
          <w:i/>
        </w:rPr>
        <w:t>2</w:t>
      </w:r>
      <w:r w:rsidRPr="00165169">
        <w:rPr>
          <w:rFonts w:ascii="Times New Roman" w:hAnsi="Times New Roman"/>
          <w:i/>
        </w:rPr>
        <w:t>: For in-band and guard-band deployment, NB-</w:t>
      </w:r>
      <w:proofErr w:type="spellStart"/>
      <w:r w:rsidRPr="00165169">
        <w:rPr>
          <w:rFonts w:ascii="Times New Roman" w:hAnsi="Times New Roman"/>
          <w:i/>
        </w:rPr>
        <w:t>IoT</w:t>
      </w:r>
      <w:proofErr w:type="spellEnd"/>
      <w:r w:rsidRPr="00165169">
        <w:rPr>
          <w:rFonts w:ascii="Times New Roman" w:hAnsi="Times New Roman"/>
          <w:i/>
        </w:rPr>
        <w:t xml:space="preserve"> system with 15 kHz subcarrier spacing has no increase over LTE IFFT processing, and no additional channel filtering or guard-spacing between the NB-</w:t>
      </w:r>
      <w:proofErr w:type="spellStart"/>
      <w:r w:rsidRPr="00165169">
        <w:rPr>
          <w:rFonts w:ascii="Times New Roman" w:hAnsi="Times New Roman"/>
          <w:i/>
        </w:rPr>
        <w:t>IoT</w:t>
      </w:r>
      <w:proofErr w:type="spellEnd"/>
      <w:r w:rsidRPr="00165169">
        <w:rPr>
          <w:rFonts w:ascii="Times New Roman" w:hAnsi="Times New Roman"/>
          <w:i/>
        </w:rPr>
        <w:t xml:space="preserve"> carrier and the LTE carrier are needed.</w:t>
      </w:r>
      <w:r w:rsidR="007176FB">
        <w:rPr>
          <w:rFonts w:ascii="Times New Roman" w:hAnsi="Times New Roman"/>
          <w:i/>
        </w:rPr>
        <w:t xml:space="preserve"> For NB-</w:t>
      </w:r>
      <w:proofErr w:type="spellStart"/>
      <w:r w:rsidR="007176FB">
        <w:rPr>
          <w:rFonts w:ascii="Times New Roman" w:hAnsi="Times New Roman"/>
          <w:i/>
        </w:rPr>
        <w:t>IoT</w:t>
      </w:r>
      <w:proofErr w:type="spellEnd"/>
      <w:r w:rsidR="007176FB">
        <w:rPr>
          <w:rFonts w:ascii="Times New Roman" w:hAnsi="Times New Roman"/>
          <w:i/>
        </w:rPr>
        <w:t xml:space="preserve"> system with 3.75</w:t>
      </w:r>
      <w:r w:rsidR="007176FB" w:rsidRPr="007176FB">
        <w:rPr>
          <w:rFonts w:ascii="Times New Roman" w:hAnsi="Times New Roman"/>
          <w:i/>
        </w:rPr>
        <w:t xml:space="preserve"> kHz subcarrier spacing</w:t>
      </w:r>
      <w:r w:rsidR="007176FB">
        <w:rPr>
          <w:rFonts w:ascii="Times New Roman" w:hAnsi="Times New Roman"/>
          <w:i/>
        </w:rPr>
        <w:t>, a</w:t>
      </w:r>
      <w:r>
        <w:rPr>
          <w:rFonts w:ascii="Times New Roman" w:hAnsi="Times New Roman"/>
          <w:i/>
        </w:rPr>
        <w:t xml:space="preserve">t least an addition of </w:t>
      </w:r>
      <w:r w:rsidRPr="00165169">
        <w:rPr>
          <w:rFonts w:ascii="Times New Roman" w:hAnsi="Times New Roman"/>
          <w:i/>
        </w:rPr>
        <w:t>3.944 million operations</w:t>
      </w:r>
      <w:r>
        <w:rPr>
          <w:rFonts w:ascii="Times New Roman" w:hAnsi="Times New Roman"/>
          <w:i/>
        </w:rPr>
        <w:t xml:space="preserve"> per second</w:t>
      </w:r>
      <w:r w:rsidRPr="00165169">
        <w:rPr>
          <w:rFonts w:ascii="Times New Roman" w:hAnsi="Times New Roman"/>
          <w:i/>
        </w:rPr>
        <w:t xml:space="preserve"> are needed</w:t>
      </w:r>
      <w:r w:rsidR="007176FB">
        <w:rPr>
          <w:rFonts w:ascii="Times New Roman" w:hAnsi="Times New Roman"/>
          <w:i/>
        </w:rPr>
        <w:t xml:space="preserve"> for the IFFT operation, and a 200 kHz guard-spacing is needed in the guard-band deployment.</w:t>
      </w:r>
    </w:p>
    <w:p w14:paraId="4904AAA3" w14:textId="08876675" w:rsidR="007176FB" w:rsidRDefault="007176FB" w:rsidP="007176FB">
      <w:pPr>
        <w:pStyle w:val="Heading2"/>
      </w:pPr>
      <w:r>
        <w:t>Stand-alone deployment</w:t>
      </w:r>
    </w:p>
    <w:p w14:paraId="159ECF67" w14:textId="5054B842" w:rsidR="007176FB" w:rsidRPr="007176FB" w:rsidRDefault="007176FB" w:rsidP="007176FB">
      <w:r>
        <w:t xml:space="preserve">As discussed in </w:t>
      </w:r>
      <w:r w:rsidR="006D5FA3">
        <w:fldChar w:fldCharType="begin"/>
      </w:r>
      <w:r w:rsidR="006D5FA3">
        <w:instrText xml:space="preserve"> REF _Ref434584538 \n \h </w:instrText>
      </w:r>
      <w:r w:rsidR="006D5FA3">
        <w:fldChar w:fldCharType="separate"/>
      </w:r>
      <w:r w:rsidR="00746B57">
        <w:t>[3]</w:t>
      </w:r>
      <w:r w:rsidR="006D5FA3">
        <w:fldChar w:fldCharType="end"/>
      </w:r>
      <w:r>
        <w:t xml:space="preserve">, for stand-alone deployment, the complexity is proportional to sampling rate. </w:t>
      </w:r>
      <w:r w:rsidR="00613C66">
        <w:t>The current design of NB-</w:t>
      </w:r>
      <w:proofErr w:type="spellStart"/>
      <w:r w:rsidR="00613C66">
        <w:t>IoT</w:t>
      </w:r>
      <w:proofErr w:type="spellEnd"/>
      <w:r w:rsidR="00613C66">
        <w:t xml:space="preserve"> system with </w:t>
      </w:r>
      <w:r w:rsidR="00613C66" w:rsidRPr="00613C66">
        <w:t>15 kHz subcarrier</w:t>
      </w:r>
      <w:r w:rsidR="00613C66">
        <w:t xml:space="preserve"> requires a higher sampling rate than the 3.75 kHz subcarrier spacing. Therefore, the complexity of using </w:t>
      </w:r>
      <w:r w:rsidR="00613C66" w:rsidRPr="00613C66">
        <w:t>15 kHz subcarrier</w:t>
      </w:r>
      <w:r w:rsidR="00613C66">
        <w:t xml:space="preserve"> is higher. </w:t>
      </w:r>
      <w:r>
        <w:t xml:space="preserve">However, </w:t>
      </w:r>
      <w:r w:rsidR="006D5FA3">
        <w:t xml:space="preserve">as the system only operates in a 200 kHz bandwidth, the sampling rate can be further reduced. Moreover, as pointed out in </w:t>
      </w:r>
      <w:r w:rsidR="006D5FA3">
        <w:fldChar w:fldCharType="begin"/>
      </w:r>
      <w:r w:rsidR="006D5FA3">
        <w:instrText xml:space="preserve"> REF _Ref434584538 \n \h </w:instrText>
      </w:r>
      <w:r w:rsidR="006D5FA3">
        <w:fldChar w:fldCharType="separate"/>
      </w:r>
      <w:r w:rsidR="00746B57">
        <w:t>[3]</w:t>
      </w:r>
      <w:r w:rsidR="006D5FA3">
        <w:fldChar w:fldCharType="end"/>
      </w:r>
      <w:r w:rsidR="006D5FA3">
        <w:t xml:space="preserve">, </w:t>
      </w:r>
      <w:r>
        <w:t xml:space="preserve">both options, i.e., </w:t>
      </w:r>
      <w:r w:rsidRPr="007176FB">
        <w:t>NB-</w:t>
      </w:r>
      <w:proofErr w:type="spellStart"/>
      <w:r w:rsidRPr="007176FB">
        <w:t>IoT</w:t>
      </w:r>
      <w:proofErr w:type="spellEnd"/>
      <w:r w:rsidRPr="007176FB">
        <w:t xml:space="preserve"> system with </w:t>
      </w:r>
      <w:r>
        <w:t xml:space="preserve">3.75 kHz or </w:t>
      </w:r>
      <w:r w:rsidRPr="007176FB">
        <w:t>15 kHz subcarrier</w:t>
      </w:r>
      <w:r>
        <w:t xml:space="preserve">, have much lower sampling rate than the common deployed LTE system. Therefore, the current MSR BS has no difficulty in supporting both options.  </w:t>
      </w:r>
    </w:p>
    <w:p w14:paraId="577D2741" w14:textId="2221BF07" w:rsidR="0005434F" w:rsidRDefault="00613C66" w:rsidP="0005434F">
      <w:pPr>
        <w:pStyle w:val="Heading1"/>
      </w:pPr>
      <w:r>
        <w:t>Receiver side</w:t>
      </w:r>
    </w:p>
    <w:p w14:paraId="167EA794" w14:textId="7FA5CCE0" w:rsidR="00011280" w:rsidRDefault="00613C66" w:rsidP="00613C66">
      <w:r>
        <w:t xml:space="preserve">In this section, we discuss the complexity of the BS receiver side. For the complexity of UL with FDMA, we refer to </w:t>
      </w:r>
      <w:r w:rsidR="00B81E81">
        <w:t xml:space="preserve">the discussions given in </w:t>
      </w:r>
      <w:r w:rsidR="00B81E81">
        <w:fldChar w:fldCharType="begin"/>
      </w:r>
      <w:r w:rsidR="00B81E81">
        <w:instrText xml:space="preserve"> REF _Ref434584538 \n \h </w:instrText>
      </w:r>
      <w:r w:rsidR="00B81E81">
        <w:fldChar w:fldCharType="separate"/>
      </w:r>
      <w:r w:rsidR="00746B57">
        <w:t>[3]</w:t>
      </w:r>
      <w:r w:rsidR="00B81E81">
        <w:fldChar w:fldCharType="end"/>
      </w:r>
      <w:r>
        <w:t xml:space="preserve">. However, for </w:t>
      </w:r>
      <w:r w:rsidR="0098139B">
        <w:t>t</w:t>
      </w:r>
      <w:r>
        <w:t xml:space="preserve">he UL with SC-FDMA, we discuss some efficient design choices that offer comparable complexity to the FDMA option. </w:t>
      </w:r>
      <w:r w:rsidR="000B7F6F">
        <w:t>Moreover, SC-FDMA receiver processing can re-use accelerated FFT algorithm</w:t>
      </w:r>
      <w:r w:rsidR="00B81E81">
        <w:t>s</w:t>
      </w:r>
      <w:r w:rsidR="000B7F6F">
        <w:t xml:space="preserve"> </w:t>
      </w:r>
      <w:r w:rsidR="00B81E81">
        <w:t>which may have already been deployed</w:t>
      </w:r>
      <w:r w:rsidR="000B7F6F">
        <w:t xml:space="preserve"> in the MSR BS</w:t>
      </w:r>
      <w:r w:rsidR="00B81E81">
        <w:t>s</w:t>
      </w:r>
      <w:r w:rsidR="000B7F6F">
        <w:t xml:space="preserve"> that is used for the LTE UL reception. </w:t>
      </w:r>
      <w:r w:rsidR="00011280">
        <w:t>On the contract, the UL with FDMA requires different processing units to handle the reception</w:t>
      </w:r>
      <w:r w:rsidR="00B81E81">
        <w:t>s</w:t>
      </w:r>
      <w:r w:rsidR="00011280">
        <w:t>. Furthermore, a</w:t>
      </w:r>
      <w:r w:rsidR="00B81E81">
        <w:t xml:space="preserve">ccording to </w:t>
      </w:r>
      <w:r w:rsidR="00B81E81">
        <w:fldChar w:fldCharType="begin"/>
      </w:r>
      <w:r w:rsidR="00B81E81">
        <w:instrText xml:space="preserve"> REF _Ref434585669 \n \h </w:instrText>
      </w:r>
      <w:r w:rsidR="00B81E81">
        <w:fldChar w:fldCharType="separate"/>
      </w:r>
      <w:r w:rsidR="00746B57">
        <w:t>[4]</w:t>
      </w:r>
      <w:r w:rsidR="00B81E81">
        <w:fldChar w:fldCharType="end"/>
      </w:r>
      <w:r w:rsidR="000B7F6F">
        <w:t xml:space="preserve">, as two different classes of UEs are defined for the UL FDMA system, </w:t>
      </w:r>
      <w:r w:rsidR="00011280">
        <w:t xml:space="preserve">it increases the cost and time to implement and test the support of both UE classes. </w:t>
      </w:r>
    </w:p>
    <w:p w14:paraId="2F3DFE6C" w14:textId="536DE5D0" w:rsidR="000B7F6F" w:rsidRPr="00011280" w:rsidRDefault="000B7F6F" w:rsidP="00613C66">
      <w:pPr>
        <w:rPr>
          <w:rFonts w:ascii="Times New Roman" w:hAnsi="Times New Roman"/>
          <w:i/>
        </w:rPr>
      </w:pPr>
      <w:r w:rsidRPr="00011280">
        <w:rPr>
          <w:rFonts w:ascii="Times New Roman" w:hAnsi="Times New Roman"/>
          <w:i/>
        </w:rPr>
        <w:t xml:space="preserve">Observation </w:t>
      </w:r>
      <w:r w:rsidR="00011280" w:rsidRPr="00011280">
        <w:rPr>
          <w:rFonts w:ascii="Times New Roman" w:hAnsi="Times New Roman"/>
          <w:i/>
        </w:rPr>
        <w:t>3</w:t>
      </w:r>
      <w:r w:rsidRPr="00011280">
        <w:rPr>
          <w:rFonts w:ascii="Times New Roman" w:hAnsi="Times New Roman"/>
          <w:i/>
        </w:rPr>
        <w:t xml:space="preserve">: </w:t>
      </w:r>
      <w:r w:rsidR="00011280" w:rsidRPr="00011280">
        <w:rPr>
          <w:rFonts w:ascii="Times New Roman" w:hAnsi="Times New Roman"/>
          <w:i/>
        </w:rPr>
        <w:t xml:space="preserve">SC-FDMA design can re-use the processing components in the current MSR BS that supports LTE. But for UL with FDMA, additional development and test costs are foreseeable, especially to support two different classes of UEs. </w:t>
      </w:r>
    </w:p>
    <w:p w14:paraId="2D03203C" w14:textId="77777777" w:rsidR="0098139B" w:rsidRDefault="0098139B" w:rsidP="00613C66">
      <w:pPr>
        <w:pStyle w:val="Heading2"/>
      </w:pPr>
      <w:r>
        <w:t>Matched filter for PUSCH and PRACH</w:t>
      </w:r>
    </w:p>
    <w:p w14:paraId="34FC9F08" w14:textId="792229D7" w:rsidR="00540850" w:rsidRDefault="0098139B" w:rsidP="0098139B">
      <w:r>
        <w:t xml:space="preserve">As the sampling rate of SC-FDMA is 320 kHz, </w:t>
      </w:r>
      <w:r w:rsidR="00B81E81">
        <w:t>if</w:t>
      </w:r>
      <w:r>
        <w:t xml:space="preserve"> a 17-tap band-pass filter is used, the operation needed per second is given as </w:t>
      </w:r>
      <w:r w:rsidRPr="0098139B">
        <w:t>320*1000*(17*2</w:t>
      </w:r>
      <w:r w:rsidR="00F6690B">
        <w:t xml:space="preserve"> </w:t>
      </w:r>
      <w:r w:rsidRPr="0098139B">
        <w:t>+ 16*2) = 21.12 million operations per second</w:t>
      </w:r>
      <w:r>
        <w:t xml:space="preserve">. </w:t>
      </w:r>
      <w:r w:rsidR="00540850">
        <w:t>The current PRACH design of the SC-FDMA based solution is gi</w:t>
      </w:r>
      <w:r w:rsidR="008A44CF">
        <w:t xml:space="preserve">ven in </w:t>
      </w:r>
      <w:r w:rsidR="008A44CF">
        <w:fldChar w:fldCharType="begin"/>
      </w:r>
      <w:r w:rsidR="008A44CF">
        <w:instrText xml:space="preserve"> REF _Ref434585869 \n \h </w:instrText>
      </w:r>
      <w:r w:rsidR="008A44CF">
        <w:fldChar w:fldCharType="separate"/>
      </w:r>
      <w:r w:rsidR="00746B57">
        <w:t>[7]</w:t>
      </w:r>
      <w:r w:rsidR="008A44CF">
        <w:fldChar w:fldCharType="end"/>
      </w:r>
      <w:r w:rsidR="00540850">
        <w:t xml:space="preserve">, where 3 different PRACH formats are used for different coverage classes. For PRACH format 0 and 1, 4ms segments, </w:t>
      </w:r>
      <w:r w:rsidR="00540850" w:rsidRPr="00540850">
        <w:t>312.5 Hz subcarrier spacing</w:t>
      </w:r>
      <w:r w:rsidR="00540850">
        <w:t xml:space="preserve">, and 80 kHz bandwidth are used.  For PRACH format 2, 160 </w:t>
      </w:r>
      <w:proofErr w:type="spellStart"/>
      <w:r w:rsidR="00540850">
        <w:t>ms</w:t>
      </w:r>
      <w:proofErr w:type="spellEnd"/>
      <w:r w:rsidR="00540850">
        <w:t xml:space="preserve"> segments and 2.5 kHz subcarrier spacing are used. </w:t>
      </w:r>
    </w:p>
    <w:p w14:paraId="6B98A79B" w14:textId="1FAC6064" w:rsidR="00797CC6" w:rsidRDefault="0098139B" w:rsidP="0098139B">
      <w:r>
        <w:t xml:space="preserve">For slots with PUSCH, a 128-point FFT is needed, which requires </w:t>
      </w:r>
      <w:r w:rsidRPr="0098139B">
        <w:t>516</w:t>
      </w:r>
      <w:r>
        <w:t xml:space="preserve"> </w:t>
      </w:r>
      <w:r w:rsidRPr="0098139B">
        <w:t>real multiplications</w:t>
      </w:r>
      <w:r>
        <w:t xml:space="preserve"> and </w:t>
      </w:r>
      <w:r w:rsidRPr="0098139B">
        <w:t>2308</w:t>
      </w:r>
      <w:r>
        <w:t xml:space="preserve"> real additions. </w:t>
      </w:r>
      <w:r w:rsidR="00797CC6" w:rsidRPr="00797CC6">
        <w:t xml:space="preserve">Thus, the overall complexity for FFT processing is (516+2308)*14*1000/6 = </w:t>
      </w:r>
      <w:r w:rsidR="00797CC6">
        <w:t>6.6</w:t>
      </w:r>
      <w:r w:rsidR="00797CC6" w:rsidRPr="00797CC6">
        <w:t xml:space="preserve"> million operations per second.</w:t>
      </w:r>
      <w:r w:rsidR="00AD0A11">
        <w:t xml:space="preserve"> However, as around 11% resource is configured for PRACH, </w:t>
      </w:r>
      <w:r w:rsidR="00AD0A11" w:rsidRPr="00AD0A11">
        <w:t>6.6*(1-0.11)</w:t>
      </w:r>
      <w:r w:rsidR="00AD0A11">
        <w:t xml:space="preserve"> = 5.9 </w:t>
      </w:r>
      <w:r w:rsidR="00AD0A11" w:rsidRPr="00AD0A11">
        <w:t>million operations per second</w:t>
      </w:r>
      <w:r w:rsidR="00AD0A11">
        <w:t xml:space="preserve"> are needed for PUSCH. </w:t>
      </w:r>
    </w:p>
    <w:p w14:paraId="3FC91E8B" w14:textId="5502E530" w:rsidR="00F910F2" w:rsidRDefault="00540850" w:rsidP="0098139B">
      <w:r>
        <w:t>For slots with PRACH format 0</w:t>
      </w:r>
      <w:r w:rsidR="00F910F2">
        <w:t xml:space="preserve">, </w:t>
      </w:r>
      <w:r w:rsidR="00F910F2" w:rsidRPr="00F910F2">
        <w:t>a 1024-point FFT is needed, as the current PRACH has 312.5 Hz subcarrier spacing. Therefore, 7172 real multiplications and 27652 real additions are needed. Thus, the overall complexity for FFT</w:t>
      </w:r>
      <w:r w:rsidR="00F910F2">
        <w:t xml:space="preserve"> processing is (7172 + 27652)*4*3</w:t>
      </w:r>
      <w:r w:rsidR="00F910F2" w:rsidRPr="00F910F2">
        <w:t xml:space="preserve">= </w:t>
      </w:r>
      <w:r w:rsidR="00F910F2">
        <w:t>417888</w:t>
      </w:r>
      <w:r w:rsidR="00F910F2" w:rsidRPr="00F910F2">
        <w:t xml:space="preserve"> operations per 1.28 second.</w:t>
      </w:r>
      <w:r>
        <w:t xml:space="preserve"> </w:t>
      </w:r>
    </w:p>
    <w:p w14:paraId="49801AE2" w14:textId="2060DB69" w:rsidR="00F910F2" w:rsidRDefault="00F910F2" w:rsidP="0098139B">
      <w:r w:rsidRPr="00F910F2">
        <w:lastRenderedPageBreak/>
        <w:t xml:space="preserve">For slots with PRACH format </w:t>
      </w:r>
      <w:r>
        <w:t>1</w:t>
      </w:r>
      <w:r w:rsidRPr="00F910F2">
        <w:t>, a 1024-point FFT is needed, as the current PRACH has 312.5 Hz subcarrier spacing. Therefore, 7172 real multiplications and 27652 real additions are needed. Thus, the overall complexity for FF</w:t>
      </w:r>
      <w:r>
        <w:t>T processing is (7172 + 27652)*12*2</w:t>
      </w:r>
      <w:r w:rsidRPr="00F910F2">
        <w:t xml:space="preserve">= </w:t>
      </w:r>
      <w:r>
        <w:t>835776</w:t>
      </w:r>
      <w:r w:rsidRPr="00F910F2">
        <w:t xml:space="preserve"> operations per </w:t>
      </w:r>
      <w:r>
        <w:t>1.28 second</w:t>
      </w:r>
      <w:r w:rsidRPr="00F910F2">
        <w:t xml:space="preserve">. </w:t>
      </w:r>
    </w:p>
    <w:p w14:paraId="28497569" w14:textId="4E622C94" w:rsidR="00CB0585" w:rsidRPr="002B45E1" w:rsidRDefault="00F910F2" w:rsidP="0098139B">
      <w:r w:rsidRPr="00F910F2">
        <w:t xml:space="preserve">For slots </w:t>
      </w:r>
      <w:r>
        <w:t>PRACH format 2</w:t>
      </w:r>
      <w:r w:rsidRPr="00F910F2">
        <w:t>, a 128-point FFT is needed, which requires 516 real multiplications and 2308 real additions. Thus, the overall complexity for FFT processing is (516+2308)*</w:t>
      </w:r>
      <w:r>
        <w:t>300</w:t>
      </w:r>
      <w:r w:rsidRPr="00F910F2">
        <w:t xml:space="preserve"> = </w:t>
      </w:r>
      <w:r>
        <w:t>847200</w:t>
      </w:r>
      <w:r w:rsidRPr="00F910F2">
        <w:t xml:space="preserve"> operations 1.28 second</w:t>
      </w:r>
      <w:r>
        <w:t>.</w:t>
      </w:r>
      <w:r w:rsidR="00AD0A11" w:rsidRPr="002B45E1">
        <w:t xml:space="preserve"> </w:t>
      </w:r>
      <w:r w:rsidR="002B45E1" w:rsidRPr="002B45E1">
        <w:t>I</w:t>
      </w:r>
      <w:r w:rsidR="00AD0A11" w:rsidRPr="002B45E1">
        <w:t>n total 21.2 million + 5.9million + (417888+835776+847200) /1.28 = 28.7 million operations per second is needed for matched filtering</w:t>
      </w:r>
      <w:r w:rsidR="00B31AA1" w:rsidRPr="002B45E1">
        <w:t xml:space="preserve"> of SC-FDMA</w:t>
      </w:r>
      <w:r w:rsidR="00AD0A11" w:rsidRPr="002B45E1">
        <w:t>.</w:t>
      </w:r>
      <w:r w:rsidR="00B31AA1">
        <w:rPr>
          <w:rFonts w:ascii="Times New Roman" w:hAnsi="Times New Roman"/>
          <w:i/>
        </w:rPr>
        <w:t xml:space="preserve"> </w:t>
      </w:r>
    </w:p>
    <w:p w14:paraId="03AA36A7" w14:textId="05D3836F" w:rsidR="00613C66" w:rsidRDefault="0098139B" w:rsidP="00613C66">
      <w:pPr>
        <w:pStyle w:val="Heading2"/>
      </w:pPr>
      <w:r>
        <w:t xml:space="preserve"> </w:t>
      </w:r>
      <w:r w:rsidR="00CB0585">
        <w:t xml:space="preserve">PRACH sequence detection and </w:t>
      </w:r>
      <w:proofErr w:type="spellStart"/>
      <w:r w:rsidR="00CB0585">
        <w:t>ToA</w:t>
      </w:r>
      <w:proofErr w:type="spellEnd"/>
      <w:r w:rsidR="00CB0585">
        <w:t xml:space="preserve"> estimation</w:t>
      </w:r>
    </w:p>
    <w:p w14:paraId="184E1049" w14:textId="602EB89C" w:rsidR="00CB0585" w:rsidRDefault="00CB0585" w:rsidP="00CB0585">
      <w:r>
        <w:t xml:space="preserve">Different from the description in </w:t>
      </w:r>
      <w:r w:rsidR="00492803">
        <w:fldChar w:fldCharType="begin"/>
      </w:r>
      <w:r w:rsidR="00492803">
        <w:instrText xml:space="preserve"> REF _Ref434584538 \n \h </w:instrText>
      </w:r>
      <w:r w:rsidR="00492803">
        <w:fldChar w:fldCharType="separate"/>
      </w:r>
      <w:r w:rsidR="00746B57">
        <w:t>[3]</w:t>
      </w:r>
      <w:r w:rsidR="00492803">
        <w:fldChar w:fldCharType="end"/>
      </w:r>
      <w:r>
        <w:t xml:space="preserve">, the PRACH sequence detection and </w:t>
      </w:r>
      <w:proofErr w:type="spellStart"/>
      <w:r>
        <w:t>ToA</w:t>
      </w:r>
      <w:proofErr w:type="spellEnd"/>
      <w:r>
        <w:t xml:space="preserve"> estimation for the current SC-FDMA design can be efficiently done jointly. </w:t>
      </w:r>
    </w:p>
    <w:p w14:paraId="636BA0AD" w14:textId="3676470E" w:rsidR="001A31D4" w:rsidRDefault="00492803" w:rsidP="00CB0585">
      <w:r>
        <w:t xml:space="preserve">Referring to </w:t>
      </w:r>
      <w:r>
        <w:fldChar w:fldCharType="begin"/>
      </w:r>
      <w:r>
        <w:instrText xml:space="preserve"> REF _Ref434585869 \n \h </w:instrText>
      </w:r>
      <w:r>
        <w:fldChar w:fldCharType="separate"/>
      </w:r>
      <w:r w:rsidR="00746B57">
        <w:t>[7]</w:t>
      </w:r>
      <w:r>
        <w:fldChar w:fldCharType="end"/>
      </w:r>
      <w:bookmarkStart w:id="1" w:name="_GoBack"/>
      <w:bookmarkEnd w:id="1"/>
      <w:r w:rsidR="00746B57">
        <w:fldChar w:fldCharType="begin"/>
      </w:r>
      <w:r w:rsidR="00746B57">
        <w:instrText xml:space="preserve"> REF _Ref434596638 \r \h </w:instrText>
      </w:r>
      <w:r w:rsidR="00746B57">
        <w:fldChar w:fldCharType="separate"/>
      </w:r>
      <w:r w:rsidR="00746B57">
        <w:fldChar w:fldCharType="end"/>
      </w:r>
      <w:r w:rsidR="001A31D4">
        <w:t>, 18 pre</w:t>
      </w:r>
      <w:r w:rsidR="00CB0585">
        <w:t xml:space="preserve">ambles </w:t>
      </w:r>
      <w:proofErr w:type="spellStart"/>
      <w:r w:rsidR="00CB0585" w:rsidRPr="00CB0585">
        <w:t>Zadoff</w:t>
      </w:r>
      <w:proofErr w:type="spellEnd"/>
      <w:r w:rsidR="00CB0585" w:rsidRPr="00CB0585">
        <w:t xml:space="preserve">-Chu </w:t>
      </w:r>
      <w:r w:rsidR="00CB0585">
        <w:t xml:space="preserve">sequences are used for PRACH format 0 and format 1. </w:t>
      </w:r>
      <w:r w:rsidR="00A7510F">
        <w:t>For the worst case</w:t>
      </w:r>
      <w:r w:rsidR="00CB0585">
        <w:t xml:space="preserve">, we assume these </w:t>
      </w:r>
      <w:proofErr w:type="spellStart"/>
      <w:r w:rsidR="00CB0585" w:rsidRPr="00CB0585">
        <w:t>Zadoff</w:t>
      </w:r>
      <w:proofErr w:type="spellEnd"/>
      <w:r w:rsidR="00CB0585" w:rsidRPr="00CB0585">
        <w:t>-Chu sequences</w:t>
      </w:r>
      <w:r w:rsidR="00CB0585">
        <w:t xml:space="preserve"> are generated from different roots</w:t>
      </w:r>
      <w:r w:rsidR="00171104">
        <w:rPr>
          <w:rStyle w:val="FootnoteReference"/>
        </w:rPr>
        <w:footnoteReference w:id="1"/>
      </w:r>
      <w:r w:rsidR="00CB0585">
        <w:t>.</w:t>
      </w:r>
      <w:r w:rsidR="00171104">
        <w:t xml:space="preserve"> Therefore, for detecting PRACH format 0, 2*18*</w:t>
      </w:r>
      <w:r w:rsidR="00171104" w:rsidRPr="00171104">
        <w:t>251</w:t>
      </w:r>
      <w:r w:rsidR="00171104">
        <w:t xml:space="preserve"> = 9036 real multiplications are needed. Then, </w:t>
      </w:r>
      <w:r w:rsidRPr="00492803">
        <w:t>for each possible preamble</w:t>
      </w:r>
      <w:r>
        <w:t xml:space="preserve"> </w:t>
      </w:r>
      <w:r w:rsidR="00171104">
        <w:t xml:space="preserve">a </w:t>
      </w:r>
      <w:r w:rsidR="001A31D4">
        <w:t>1024</w:t>
      </w:r>
      <w:r w:rsidR="00171104">
        <w:t xml:space="preserve">-point IFFT, which requires </w:t>
      </w:r>
      <w:r w:rsidR="001A31D4" w:rsidRPr="001A31D4">
        <w:t xml:space="preserve">7172 </w:t>
      </w:r>
      <w:r w:rsidR="00171104">
        <w:t xml:space="preserve">real multiplications and </w:t>
      </w:r>
      <w:r w:rsidR="001A31D4" w:rsidRPr="001A31D4">
        <w:t xml:space="preserve">27652 </w:t>
      </w:r>
      <w:r w:rsidR="00171104">
        <w:t xml:space="preserve">real additions, is used for </w:t>
      </w:r>
      <w:proofErr w:type="spellStart"/>
      <w:r w:rsidR="00171104">
        <w:t>ToA</w:t>
      </w:r>
      <w:proofErr w:type="spellEnd"/>
      <w:r w:rsidR="00171104">
        <w:t xml:space="preserve"> estimation. </w:t>
      </w:r>
      <w:r w:rsidR="001A31D4">
        <w:t>As 18 preambles are used, 18 * (</w:t>
      </w:r>
      <w:r w:rsidR="001A31D4" w:rsidRPr="001A31D4">
        <w:t xml:space="preserve">7172 </w:t>
      </w:r>
      <w:r w:rsidR="001A31D4">
        <w:t xml:space="preserve">+ </w:t>
      </w:r>
      <w:r w:rsidR="001A31D4" w:rsidRPr="001A31D4">
        <w:t>27652</w:t>
      </w:r>
      <w:r w:rsidR="001A31D4">
        <w:t xml:space="preserve">) + </w:t>
      </w:r>
      <w:r w:rsidR="001A31D4" w:rsidRPr="001A31D4">
        <w:t>9036</w:t>
      </w:r>
      <w:r w:rsidR="001A31D4">
        <w:t xml:space="preserve"> = 0.64 million operation are used per segment. In total, </w:t>
      </w:r>
      <w:r w:rsidR="001A31D4" w:rsidRPr="001A31D4">
        <w:t>4*3</w:t>
      </w:r>
      <w:r w:rsidR="001A31D4">
        <w:t xml:space="preserve">*0.64 = 7.7 </w:t>
      </w:r>
      <w:r w:rsidR="001A31D4" w:rsidRPr="001A31D4">
        <w:t>million operations</w:t>
      </w:r>
      <w:r w:rsidR="001A31D4">
        <w:t xml:space="preserve"> are needed per 1.28 second. </w:t>
      </w:r>
    </w:p>
    <w:p w14:paraId="05C6AE44" w14:textId="2FC2C8A3" w:rsidR="001A31D4" w:rsidRDefault="00171104" w:rsidP="00CB0585">
      <w:r>
        <w:t xml:space="preserve">For PRACH format 1, 12 repetitions are </w:t>
      </w:r>
      <w:r w:rsidR="00D93431">
        <w:t xml:space="preserve">used. </w:t>
      </w:r>
      <w:r w:rsidR="001A31D4">
        <w:t xml:space="preserve">As 18 preambles are used, </w:t>
      </w:r>
      <w:r w:rsidR="001A31D4" w:rsidRPr="001A31D4">
        <w:t>2*18*251</w:t>
      </w:r>
      <w:r w:rsidR="001A31D4">
        <w:t xml:space="preserve">*12 = 108432 </w:t>
      </w:r>
      <w:r w:rsidR="001A31D4" w:rsidRPr="001A31D4">
        <w:t>real multiplications are needed.</w:t>
      </w:r>
      <w:r w:rsidR="001A31D4">
        <w:t xml:space="preserve"> </w:t>
      </w:r>
      <w:r w:rsidR="001A31D4" w:rsidRPr="001A31D4">
        <w:t xml:space="preserve">Then, </w:t>
      </w:r>
      <w:r w:rsidR="00492803">
        <w:t xml:space="preserve">for each possible preamble, </w:t>
      </w:r>
      <w:r w:rsidR="001A31D4" w:rsidRPr="001A31D4">
        <w:t>a 1024-point IFFT, which requires 7172 real multiplications and 27652 real additi</w:t>
      </w:r>
      <w:r w:rsidR="00767EFD">
        <w:t xml:space="preserve">ons, is used for </w:t>
      </w:r>
      <w:proofErr w:type="spellStart"/>
      <w:r w:rsidR="00767EFD">
        <w:t>ToA</w:t>
      </w:r>
      <w:proofErr w:type="spellEnd"/>
      <w:r w:rsidR="00767EFD">
        <w:t xml:space="preserve"> estimation for each preamble. </w:t>
      </w:r>
      <w:r w:rsidR="00767EFD" w:rsidRPr="00767EFD">
        <w:t xml:space="preserve">Assuming each 3 of the </w:t>
      </w:r>
      <w:r w:rsidR="00492803">
        <w:t>repetitions</w:t>
      </w:r>
      <w:r w:rsidR="00767EFD" w:rsidRPr="00767EFD">
        <w:t xml:space="preserve"> are added coherently, and then combined non-coherently for ener</w:t>
      </w:r>
      <w:r w:rsidR="00767EFD">
        <w:t xml:space="preserve">gy detection and </w:t>
      </w:r>
      <w:proofErr w:type="spellStart"/>
      <w:r w:rsidR="00767EFD">
        <w:t>ToA</w:t>
      </w:r>
      <w:proofErr w:type="spellEnd"/>
      <w:r w:rsidR="00767EFD">
        <w:t xml:space="preserve"> estimation. So, </w:t>
      </w:r>
      <w:r w:rsidR="00767EFD" w:rsidRPr="00767EFD">
        <w:t>1024*2*3*4</w:t>
      </w:r>
      <w:r w:rsidR="002B45E1">
        <w:t>*(4+3)</w:t>
      </w:r>
      <w:r w:rsidR="00767EFD">
        <w:t xml:space="preserve"> = </w:t>
      </w:r>
      <w:r w:rsidR="00492803">
        <w:t>172032</w:t>
      </w:r>
      <w:r w:rsidR="00767EFD">
        <w:t xml:space="preserve"> operations are needed for the combination. In total, 18*(</w:t>
      </w:r>
      <w:r w:rsidR="00767EFD" w:rsidRPr="00767EFD">
        <w:t>7172 + 27652</w:t>
      </w:r>
      <w:r w:rsidR="00767EFD">
        <w:t>+</w:t>
      </w:r>
      <w:r w:rsidR="00492803" w:rsidRPr="00492803">
        <w:t>172032</w:t>
      </w:r>
      <w:r w:rsidR="00767EFD">
        <w:t xml:space="preserve">) + </w:t>
      </w:r>
      <w:r w:rsidR="00767EFD" w:rsidRPr="00767EFD">
        <w:t>108432</w:t>
      </w:r>
      <w:r w:rsidR="00767EFD">
        <w:t xml:space="preserve"> = </w:t>
      </w:r>
      <w:r w:rsidR="00492803">
        <w:t>3.8</w:t>
      </w:r>
      <w:r w:rsidR="00767EFD">
        <w:t xml:space="preserve"> </w:t>
      </w:r>
      <w:r w:rsidR="00767EFD" w:rsidRPr="00767EFD">
        <w:t>million operation</w:t>
      </w:r>
      <w:r w:rsidR="00492803">
        <w:t>s</w:t>
      </w:r>
      <w:r w:rsidR="00767EFD" w:rsidRPr="00767EFD">
        <w:t xml:space="preserve"> are used per segment. In total, </w:t>
      </w:r>
      <w:r w:rsidR="00767EFD">
        <w:t>2*</w:t>
      </w:r>
      <w:r w:rsidR="00492803">
        <w:t>3.8</w:t>
      </w:r>
      <w:r w:rsidR="00767EFD" w:rsidRPr="00767EFD">
        <w:t xml:space="preserve"> </w:t>
      </w:r>
      <w:r w:rsidR="00767EFD">
        <w:t xml:space="preserve">= </w:t>
      </w:r>
      <w:r w:rsidR="00492803">
        <w:t>7.6</w:t>
      </w:r>
      <w:r w:rsidR="00767EFD" w:rsidRPr="00767EFD">
        <w:t xml:space="preserve"> million operations are needed per 1.28 second.</w:t>
      </w:r>
    </w:p>
    <w:p w14:paraId="60991882" w14:textId="2A26BAA3" w:rsidR="00767EFD" w:rsidRDefault="00171104" w:rsidP="00CB0585">
      <w:r>
        <w:t xml:space="preserve">For </w:t>
      </w:r>
      <w:r w:rsidR="009F0AD9">
        <w:t xml:space="preserve">PRACH format 2, we first add each 3 OFDM symbols together to get one pilot symbol. This is repeated 100 times within 160 </w:t>
      </w:r>
      <w:proofErr w:type="spellStart"/>
      <w:r w:rsidR="009F0AD9">
        <w:t>ms</w:t>
      </w:r>
      <w:proofErr w:type="spellEnd"/>
      <w:r w:rsidR="009F0AD9">
        <w:t xml:space="preserve"> to yield 100 pilots symbols. This operation requires </w:t>
      </w:r>
      <w:r w:rsidR="00EB4BCE">
        <w:t>2 * 3 *100 = 600</w:t>
      </w:r>
      <w:r>
        <w:t xml:space="preserve"> </w:t>
      </w:r>
      <w:r w:rsidR="009F0AD9">
        <w:t>real additions</w:t>
      </w:r>
      <w:r w:rsidR="00F664A5">
        <w:t xml:space="preserve">. </w:t>
      </w:r>
      <w:r w:rsidR="00767EFD">
        <w:t xml:space="preserve">First a 1024-point FFT is used for CFO estimation, and then a 128-point FFT is used for </w:t>
      </w:r>
      <w:proofErr w:type="spellStart"/>
      <w:r w:rsidR="00767EFD">
        <w:t>ToA</w:t>
      </w:r>
      <w:proofErr w:type="spellEnd"/>
      <w:r w:rsidR="00767EFD">
        <w:t xml:space="preserve"> estimation. Therefore, (7172 + 27652) +100*(4+3) + </w:t>
      </w:r>
      <w:r w:rsidR="00767EFD" w:rsidRPr="00767EFD">
        <w:t>(516+2308)</w:t>
      </w:r>
      <w:r w:rsidR="00767EFD">
        <w:t xml:space="preserve"> = 38348 operations are needed for one PRACH channel. As 18 PRACH format 2 channels are configured, 18*</w:t>
      </w:r>
      <w:r w:rsidR="00767EFD" w:rsidRPr="00767EFD">
        <w:t>38348</w:t>
      </w:r>
      <w:r w:rsidR="00767EFD">
        <w:t xml:space="preserve"> = 0.7 million operations </w:t>
      </w:r>
      <w:r w:rsidR="00767EFD" w:rsidRPr="00767EFD">
        <w:t>are needed per 1.28 second.</w:t>
      </w:r>
    </w:p>
    <w:p w14:paraId="0DC783C4" w14:textId="304A2472" w:rsidR="00767EFD" w:rsidRDefault="00767EFD" w:rsidP="00CB0585">
      <w:r>
        <w:t>In total, when considering 3 different PRACH formats, (</w:t>
      </w:r>
      <w:r w:rsidRPr="00767EFD">
        <w:t>7.7</w:t>
      </w:r>
      <w:r>
        <w:t xml:space="preserve"> + </w:t>
      </w:r>
      <w:r w:rsidR="002B45E1">
        <w:t>7.6</w:t>
      </w:r>
      <w:r>
        <w:t xml:space="preserve"> + 0.7) / 1.28 = </w:t>
      </w:r>
      <w:r w:rsidR="002B45E1">
        <w:t>12.5</w:t>
      </w:r>
      <w:r>
        <w:t xml:space="preserve"> million operations are needed for PRACH sequence detection and </w:t>
      </w:r>
      <w:proofErr w:type="spellStart"/>
      <w:r>
        <w:t>ToA</w:t>
      </w:r>
      <w:proofErr w:type="spellEnd"/>
      <w:r>
        <w:t xml:space="preserve"> estimation. </w:t>
      </w:r>
    </w:p>
    <w:p w14:paraId="1C48FC7A" w14:textId="2AD2D323" w:rsidR="00CB0585" w:rsidRDefault="00F664A5" w:rsidP="00F664A5">
      <w:pPr>
        <w:pStyle w:val="Heading2"/>
      </w:pPr>
      <w:r>
        <w:t>Summary</w:t>
      </w:r>
    </w:p>
    <w:p w14:paraId="7F10C2E8" w14:textId="355EADB8" w:rsidR="00F664A5" w:rsidRDefault="002B45E1" w:rsidP="00F664A5">
      <w:r>
        <w:t xml:space="preserve">We refer to </w:t>
      </w:r>
      <w:r>
        <w:fldChar w:fldCharType="begin"/>
      </w:r>
      <w:r>
        <w:instrText xml:space="preserve"> REF _Ref434584538 \n \h </w:instrText>
      </w:r>
      <w:r>
        <w:fldChar w:fldCharType="separate"/>
      </w:r>
      <w:r w:rsidR="00746B57">
        <w:t>[3]</w:t>
      </w:r>
      <w:r>
        <w:fldChar w:fldCharType="end"/>
      </w:r>
      <w:r w:rsidR="00F664A5">
        <w:t xml:space="preserve"> for the complexity of f</w:t>
      </w:r>
      <w:r w:rsidR="00F664A5" w:rsidRPr="00F664A5">
        <w:t>requency offset tracking and compensation</w:t>
      </w:r>
      <w:r w:rsidR="00F664A5">
        <w:t xml:space="preserve"> as well as c</w:t>
      </w:r>
      <w:r w:rsidR="00F664A5" w:rsidRPr="00F664A5">
        <w:t>hannel estimation and equalization</w:t>
      </w:r>
      <w:r w:rsidR="00F664A5">
        <w:t>. The computational complexity analysis is summarized in Table 1, where the numbers of UL option with FDMA</w:t>
      </w:r>
      <w:r w:rsidR="00C72957">
        <w:t xml:space="preserve"> and LTE are</w:t>
      </w:r>
      <w:r w:rsidR="00F664A5">
        <w:t xml:space="preserve"> take</w:t>
      </w:r>
      <w:r w:rsidR="00C72957">
        <w:t>n</w:t>
      </w:r>
      <w:r w:rsidR="00F664A5">
        <w:t xml:space="preserve"> from </w:t>
      </w:r>
      <w:r>
        <w:fldChar w:fldCharType="begin"/>
      </w:r>
      <w:r>
        <w:instrText xml:space="preserve"> REF _Ref434584538 \n \h </w:instrText>
      </w:r>
      <w:r>
        <w:fldChar w:fldCharType="separate"/>
      </w:r>
      <w:r w:rsidR="00746B57">
        <w:t>[3]</w:t>
      </w:r>
      <w:r>
        <w:fldChar w:fldCharType="end"/>
      </w:r>
      <w:r w:rsidR="00F664A5">
        <w:t xml:space="preserve"> directly without modification. </w:t>
      </w:r>
    </w:p>
    <w:p w14:paraId="18583BCD" w14:textId="599F8001" w:rsidR="00F664A5" w:rsidRPr="002837CC" w:rsidRDefault="00F664A5" w:rsidP="00F664A5">
      <w:pPr>
        <w:pStyle w:val="Caption"/>
        <w:rPr>
          <w:sz w:val="22"/>
        </w:rPr>
      </w:pPr>
      <w:bookmarkStart w:id="2" w:name="_Ref431216235"/>
      <w:r>
        <w:rPr>
          <w:rFonts w:hint="eastAsia"/>
          <w:sz w:val="22"/>
        </w:rPr>
        <w:t xml:space="preserve">Table </w:t>
      </w:r>
      <w:r>
        <w:rPr>
          <w:sz w:val="22"/>
        </w:rPr>
        <w:fldChar w:fldCharType="begin"/>
      </w:r>
      <w:r>
        <w:rPr>
          <w:sz w:val="22"/>
        </w:rPr>
        <w:instrText xml:space="preserve"> </w:instrText>
      </w:r>
      <w:r>
        <w:rPr>
          <w:rFonts w:hint="eastAsia"/>
          <w:sz w:val="22"/>
        </w:rPr>
        <w:instrText xml:space="preserve">SEQ </w:instrText>
      </w:r>
      <w:r>
        <w:rPr>
          <w:rFonts w:ascii="SimSun" w:eastAsia="SimSun" w:hAnsi="SimSun" w:cs="SimSun" w:hint="eastAsia"/>
          <w:sz w:val="22"/>
        </w:rPr>
        <w:instrText>表格</w:instrText>
      </w:r>
      <w:r>
        <w:rPr>
          <w:rFonts w:hint="eastAsia"/>
          <w:sz w:val="22"/>
        </w:rPr>
        <w:instrText xml:space="preserve"> \* ARABIC</w:instrText>
      </w:r>
      <w:r>
        <w:rPr>
          <w:sz w:val="22"/>
        </w:rPr>
        <w:instrText xml:space="preserve"> </w:instrText>
      </w:r>
      <w:r>
        <w:rPr>
          <w:sz w:val="22"/>
        </w:rPr>
        <w:fldChar w:fldCharType="separate"/>
      </w:r>
      <w:r w:rsidR="00746B57">
        <w:rPr>
          <w:noProof/>
          <w:sz w:val="22"/>
        </w:rPr>
        <w:t>1</w:t>
      </w:r>
      <w:r>
        <w:rPr>
          <w:sz w:val="22"/>
        </w:rPr>
        <w:fldChar w:fldCharType="end"/>
      </w:r>
      <w:bookmarkEnd w:id="2"/>
      <w:r>
        <w:rPr>
          <w:rFonts w:hint="eastAsia"/>
          <w:sz w:val="22"/>
        </w:rPr>
        <w:t xml:space="preserve"> </w:t>
      </w:r>
      <w:r w:rsidR="002B45E1">
        <w:rPr>
          <w:sz w:val="22"/>
        </w:rPr>
        <w:t>Comparison</w:t>
      </w:r>
      <w:r>
        <w:rPr>
          <w:rFonts w:hint="eastAsia"/>
          <w:sz w:val="22"/>
        </w:rPr>
        <w:t xml:space="preserve"> of computational complexity for </w:t>
      </w:r>
      <w:r w:rsidR="002B45E1">
        <w:rPr>
          <w:sz w:val="22"/>
        </w:rPr>
        <w:t>UL</w:t>
      </w:r>
      <w:r w:rsidRPr="007830D5">
        <w:rPr>
          <w:sz w:val="22"/>
        </w:rPr>
        <w:t xml:space="preserve"> (</w:t>
      </w:r>
      <w:r w:rsidR="002B45E1">
        <w:rPr>
          <w:sz w:val="22"/>
        </w:rPr>
        <w:t>excluding</w:t>
      </w:r>
      <w:r w:rsidRPr="007830D5">
        <w:rPr>
          <w:sz w:val="22"/>
        </w:rPr>
        <w:t xml:space="preserve"> decoding)</w:t>
      </w: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652"/>
        <w:gridCol w:w="1697"/>
        <w:gridCol w:w="1697"/>
      </w:tblGrid>
      <w:tr w:rsidR="00F664A5" w:rsidRPr="0076231E" w14:paraId="66C7215B" w14:textId="77777777" w:rsidTr="009A1F8D">
        <w:trPr>
          <w:trHeight w:val="529"/>
          <w:jc w:val="center"/>
        </w:trPr>
        <w:tc>
          <w:tcPr>
            <w:tcW w:w="2274" w:type="dxa"/>
            <w:vAlign w:val="center"/>
          </w:tcPr>
          <w:p w14:paraId="0BFADC3A" w14:textId="77777777" w:rsidR="00F664A5" w:rsidRPr="0076231E" w:rsidRDefault="00F664A5" w:rsidP="009A1F8D">
            <w:pPr>
              <w:spacing w:before="120" w:line="300" w:lineRule="auto"/>
            </w:pPr>
          </w:p>
        </w:tc>
        <w:tc>
          <w:tcPr>
            <w:tcW w:w="1652" w:type="dxa"/>
          </w:tcPr>
          <w:p w14:paraId="31DF4BC0" w14:textId="11920BF6" w:rsidR="00F664A5" w:rsidRPr="00E650E1" w:rsidRDefault="00F664A5" w:rsidP="002B45E1">
            <w:pPr>
              <w:spacing w:before="120" w:line="300" w:lineRule="auto"/>
              <w:jc w:val="left"/>
              <w:rPr>
                <w:vertAlign w:val="superscript"/>
              </w:rPr>
            </w:pPr>
            <w:r>
              <w:rPr>
                <w:rFonts w:hint="eastAsia"/>
              </w:rPr>
              <w:t>UL option with FDMA</w:t>
            </w:r>
            <w:r w:rsidR="002B45E1">
              <w:t xml:space="preserve"> (see note a)</w:t>
            </w:r>
          </w:p>
        </w:tc>
        <w:tc>
          <w:tcPr>
            <w:tcW w:w="1697" w:type="dxa"/>
            <w:vAlign w:val="center"/>
          </w:tcPr>
          <w:p w14:paraId="5E69E4CE" w14:textId="77777777" w:rsidR="00F664A5" w:rsidRPr="0076231E" w:rsidRDefault="00F664A5" w:rsidP="002B45E1">
            <w:pPr>
              <w:spacing w:before="120" w:line="300" w:lineRule="auto"/>
              <w:jc w:val="left"/>
            </w:pPr>
            <w:r>
              <w:rPr>
                <w:rFonts w:hint="eastAsia"/>
              </w:rPr>
              <w:t>UL option with SC-FDMA</w:t>
            </w:r>
          </w:p>
        </w:tc>
        <w:tc>
          <w:tcPr>
            <w:tcW w:w="1697" w:type="dxa"/>
          </w:tcPr>
          <w:p w14:paraId="1F7BADCC" w14:textId="0F962AC7" w:rsidR="00F664A5" w:rsidRPr="00E650E1" w:rsidRDefault="00F664A5" w:rsidP="002B45E1">
            <w:pPr>
              <w:spacing w:before="120" w:line="300" w:lineRule="auto"/>
              <w:jc w:val="left"/>
              <w:rPr>
                <w:vertAlign w:val="superscript"/>
              </w:rPr>
            </w:pPr>
            <w:r>
              <w:rPr>
                <w:rFonts w:hint="eastAsia"/>
              </w:rPr>
              <w:t>LTE</w:t>
            </w:r>
            <w:r w:rsidR="002B45E1">
              <w:t xml:space="preserve"> </w:t>
            </w:r>
            <w:r w:rsidR="002B45E1" w:rsidRPr="002B45E1">
              <w:t>(see note a)</w:t>
            </w:r>
          </w:p>
        </w:tc>
      </w:tr>
      <w:tr w:rsidR="00F664A5" w:rsidRPr="0076231E" w14:paraId="170D0095" w14:textId="77777777" w:rsidTr="009A1F8D">
        <w:trPr>
          <w:trHeight w:val="529"/>
          <w:jc w:val="center"/>
        </w:trPr>
        <w:tc>
          <w:tcPr>
            <w:tcW w:w="2274" w:type="dxa"/>
            <w:vAlign w:val="center"/>
          </w:tcPr>
          <w:p w14:paraId="00578D62" w14:textId="77777777" w:rsidR="00F664A5" w:rsidRPr="0076231E" w:rsidRDefault="00F664A5" w:rsidP="009A1F8D">
            <w:pPr>
              <w:spacing w:before="120" w:line="300" w:lineRule="auto"/>
            </w:pPr>
            <w:r>
              <w:rPr>
                <w:rFonts w:hint="eastAsia"/>
              </w:rPr>
              <w:t>Matched filter (Mop/s)</w:t>
            </w:r>
          </w:p>
        </w:tc>
        <w:tc>
          <w:tcPr>
            <w:tcW w:w="1652" w:type="dxa"/>
            <w:vAlign w:val="center"/>
          </w:tcPr>
          <w:p w14:paraId="39D79C9A" w14:textId="77777777" w:rsidR="00F664A5" w:rsidRDefault="00F664A5" w:rsidP="009A1F8D">
            <w:pPr>
              <w:spacing w:before="120" w:line="300" w:lineRule="auto"/>
            </w:pPr>
            <w:r>
              <w:rPr>
                <w:rFonts w:hint="eastAsia"/>
              </w:rPr>
              <w:t>40.6</w:t>
            </w:r>
          </w:p>
        </w:tc>
        <w:tc>
          <w:tcPr>
            <w:tcW w:w="1697" w:type="dxa"/>
            <w:vAlign w:val="center"/>
          </w:tcPr>
          <w:p w14:paraId="1F9F9C09" w14:textId="59855DF8" w:rsidR="00F664A5" w:rsidRDefault="00AD0A11" w:rsidP="009A1F8D">
            <w:pPr>
              <w:spacing w:before="120" w:line="300" w:lineRule="auto"/>
            </w:pPr>
            <w:r w:rsidRPr="00AD0A11">
              <w:t>28.7</w:t>
            </w:r>
          </w:p>
        </w:tc>
        <w:tc>
          <w:tcPr>
            <w:tcW w:w="1697" w:type="dxa"/>
            <w:vAlign w:val="center"/>
          </w:tcPr>
          <w:p w14:paraId="4931D033" w14:textId="77777777" w:rsidR="00F664A5" w:rsidRDefault="00F664A5" w:rsidP="009A1F8D">
            <w:pPr>
              <w:spacing w:before="120" w:line="300" w:lineRule="auto"/>
            </w:pPr>
            <w:r>
              <w:rPr>
                <w:rFonts w:hint="eastAsia"/>
              </w:rPr>
              <w:t>984.8</w:t>
            </w:r>
          </w:p>
        </w:tc>
      </w:tr>
      <w:tr w:rsidR="00F664A5" w:rsidRPr="0076231E" w14:paraId="6363333E" w14:textId="77777777" w:rsidTr="009A1F8D">
        <w:trPr>
          <w:trHeight w:val="529"/>
          <w:jc w:val="center"/>
        </w:trPr>
        <w:tc>
          <w:tcPr>
            <w:tcW w:w="2274" w:type="dxa"/>
            <w:vAlign w:val="center"/>
          </w:tcPr>
          <w:p w14:paraId="68DC159D" w14:textId="77777777" w:rsidR="00F664A5" w:rsidRDefault="00F664A5" w:rsidP="009A1F8D">
            <w:pPr>
              <w:spacing w:before="120" w:line="300" w:lineRule="auto"/>
            </w:pPr>
            <w:r>
              <w:rPr>
                <w:rFonts w:hint="eastAsia"/>
              </w:rPr>
              <w:t>PRACH sequence detection (Mop/s)</w:t>
            </w:r>
          </w:p>
        </w:tc>
        <w:tc>
          <w:tcPr>
            <w:tcW w:w="1652" w:type="dxa"/>
            <w:vAlign w:val="center"/>
          </w:tcPr>
          <w:p w14:paraId="5E361ECC" w14:textId="77777777" w:rsidR="00F664A5" w:rsidRDefault="00F664A5" w:rsidP="009A1F8D">
            <w:pPr>
              <w:spacing w:before="120" w:line="300" w:lineRule="auto"/>
            </w:pPr>
            <w:r>
              <w:rPr>
                <w:rFonts w:hint="eastAsia"/>
              </w:rPr>
              <w:t>0</w:t>
            </w:r>
          </w:p>
        </w:tc>
        <w:tc>
          <w:tcPr>
            <w:tcW w:w="1697" w:type="dxa"/>
            <w:vAlign w:val="center"/>
          </w:tcPr>
          <w:p w14:paraId="5D484E20" w14:textId="4789965E" w:rsidR="00F664A5" w:rsidRPr="00BA04FA" w:rsidRDefault="00D93431" w:rsidP="009A1F8D">
            <w:pPr>
              <w:spacing w:before="120" w:line="300" w:lineRule="auto"/>
              <w:rPr>
                <w:vertAlign w:val="superscript"/>
              </w:rPr>
            </w:pPr>
            <w:r w:rsidRPr="00D93431">
              <w:t>0</w:t>
            </w:r>
            <w:r w:rsidR="00BA04FA">
              <w:t xml:space="preserve"> (see note c)</w:t>
            </w:r>
            <w:r w:rsidR="00BA04FA">
              <w:rPr>
                <w:vertAlign w:val="superscript"/>
              </w:rPr>
              <w:t xml:space="preserve"> </w:t>
            </w:r>
          </w:p>
        </w:tc>
        <w:tc>
          <w:tcPr>
            <w:tcW w:w="1697" w:type="dxa"/>
            <w:vAlign w:val="center"/>
          </w:tcPr>
          <w:p w14:paraId="39EA0F8C" w14:textId="77777777" w:rsidR="00F664A5" w:rsidRDefault="00F664A5" w:rsidP="009A1F8D">
            <w:pPr>
              <w:spacing w:before="120" w:line="300" w:lineRule="auto"/>
            </w:pPr>
            <w:r>
              <w:rPr>
                <w:rFonts w:hint="eastAsia"/>
              </w:rPr>
              <w:t>4005.0</w:t>
            </w:r>
          </w:p>
        </w:tc>
      </w:tr>
      <w:tr w:rsidR="00F664A5" w:rsidRPr="0076231E" w14:paraId="42897043" w14:textId="77777777" w:rsidTr="009A1F8D">
        <w:trPr>
          <w:trHeight w:val="529"/>
          <w:jc w:val="center"/>
        </w:trPr>
        <w:tc>
          <w:tcPr>
            <w:tcW w:w="2274" w:type="dxa"/>
            <w:vAlign w:val="center"/>
          </w:tcPr>
          <w:p w14:paraId="6FB1B301" w14:textId="77777777" w:rsidR="00F664A5" w:rsidRDefault="00F664A5" w:rsidP="009A1F8D">
            <w:pPr>
              <w:spacing w:before="120" w:line="300" w:lineRule="auto"/>
            </w:pPr>
            <w:proofErr w:type="spellStart"/>
            <w:r>
              <w:rPr>
                <w:rFonts w:hint="eastAsia"/>
              </w:rPr>
              <w:t>ToA</w:t>
            </w:r>
            <w:proofErr w:type="spellEnd"/>
            <w:r>
              <w:rPr>
                <w:rFonts w:hint="eastAsia"/>
              </w:rPr>
              <w:t xml:space="preserve"> estimation (Mop/s)</w:t>
            </w:r>
          </w:p>
        </w:tc>
        <w:tc>
          <w:tcPr>
            <w:tcW w:w="1652" w:type="dxa"/>
            <w:vAlign w:val="center"/>
          </w:tcPr>
          <w:p w14:paraId="0F2D1345" w14:textId="77777777" w:rsidR="00F664A5" w:rsidRDefault="00F664A5" w:rsidP="009A1F8D">
            <w:pPr>
              <w:spacing w:before="120" w:line="300" w:lineRule="auto"/>
            </w:pPr>
            <w:r>
              <w:rPr>
                <w:rFonts w:hint="eastAsia"/>
              </w:rPr>
              <w:t>37.8</w:t>
            </w:r>
          </w:p>
        </w:tc>
        <w:tc>
          <w:tcPr>
            <w:tcW w:w="1697" w:type="dxa"/>
            <w:vAlign w:val="center"/>
          </w:tcPr>
          <w:p w14:paraId="4F48F2BE" w14:textId="438236AB" w:rsidR="00F664A5" w:rsidRPr="00AD0A11" w:rsidRDefault="002B45E1" w:rsidP="009A1F8D">
            <w:pPr>
              <w:spacing w:before="120" w:line="300" w:lineRule="auto"/>
            </w:pPr>
            <w:r w:rsidRPr="002B45E1">
              <w:t>12.5</w:t>
            </w:r>
          </w:p>
        </w:tc>
        <w:tc>
          <w:tcPr>
            <w:tcW w:w="1697" w:type="dxa"/>
            <w:vAlign w:val="center"/>
          </w:tcPr>
          <w:p w14:paraId="3C953119" w14:textId="77777777" w:rsidR="00F664A5" w:rsidRDefault="00F664A5" w:rsidP="009A1F8D">
            <w:pPr>
              <w:spacing w:before="120" w:line="300" w:lineRule="auto"/>
            </w:pPr>
            <w:r>
              <w:rPr>
                <w:rFonts w:hint="eastAsia"/>
              </w:rPr>
              <w:t>830.0</w:t>
            </w:r>
          </w:p>
        </w:tc>
      </w:tr>
      <w:tr w:rsidR="00F664A5" w:rsidRPr="0076231E" w14:paraId="16F0B195" w14:textId="77777777" w:rsidTr="009A1F8D">
        <w:trPr>
          <w:trHeight w:val="529"/>
          <w:jc w:val="center"/>
        </w:trPr>
        <w:tc>
          <w:tcPr>
            <w:tcW w:w="2274" w:type="dxa"/>
            <w:vAlign w:val="center"/>
          </w:tcPr>
          <w:p w14:paraId="2DA48E90" w14:textId="77777777" w:rsidR="00F664A5" w:rsidRDefault="00F664A5" w:rsidP="009A1F8D">
            <w:pPr>
              <w:spacing w:before="120" w:line="300" w:lineRule="auto"/>
            </w:pPr>
            <w:r>
              <w:rPr>
                <w:rFonts w:hint="eastAsia"/>
              </w:rPr>
              <w:lastRenderedPageBreak/>
              <w:t>Frequency offset tracking and compensation (Mop/s)</w:t>
            </w:r>
          </w:p>
        </w:tc>
        <w:tc>
          <w:tcPr>
            <w:tcW w:w="1652" w:type="dxa"/>
            <w:vAlign w:val="center"/>
          </w:tcPr>
          <w:p w14:paraId="1CFDE416" w14:textId="77777777" w:rsidR="00F664A5" w:rsidRDefault="00F664A5" w:rsidP="009A1F8D">
            <w:pPr>
              <w:spacing w:before="120" w:line="300" w:lineRule="auto"/>
            </w:pPr>
            <w:r>
              <w:rPr>
                <w:rFonts w:hint="eastAsia"/>
              </w:rPr>
              <w:t>3.3</w:t>
            </w:r>
          </w:p>
        </w:tc>
        <w:tc>
          <w:tcPr>
            <w:tcW w:w="1697" w:type="dxa"/>
            <w:vAlign w:val="center"/>
          </w:tcPr>
          <w:p w14:paraId="5323D531" w14:textId="09E9D619" w:rsidR="00F664A5" w:rsidRPr="00E650E1" w:rsidRDefault="00F664A5" w:rsidP="009A1F8D">
            <w:pPr>
              <w:spacing w:before="120" w:line="300" w:lineRule="auto"/>
              <w:rPr>
                <w:vertAlign w:val="superscript"/>
              </w:rPr>
            </w:pPr>
            <w:r>
              <w:rPr>
                <w:rFonts w:hint="eastAsia"/>
              </w:rPr>
              <w:t>3.2</w:t>
            </w:r>
            <w:r w:rsidR="00746B57">
              <w:t xml:space="preserve"> </w:t>
            </w:r>
            <w:r w:rsidR="00746B57" w:rsidRPr="00746B57">
              <w:t>(see note a)</w:t>
            </w:r>
          </w:p>
        </w:tc>
        <w:tc>
          <w:tcPr>
            <w:tcW w:w="1697" w:type="dxa"/>
            <w:vAlign w:val="center"/>
          </w:tcPr>
          <w:p w14:paraId="20B6914B" w14:textId="77777777" w:rsidR="00F664A5" w:rsidRDefault="00F664A5" w:rsidP="009A1F8D">
            <w:pPr>
              <w:spacing w:before="120" w:line="300" w:lineRule="auto"/>
            </w:pPr>
            <w:r>
              <w:rPr>
                <w:rFonts w:hint="eastAsia"/>
              </w:rPr>
              <w:t>143.1</w:t>
            </w:r>
          </w:p>
        </w:tc>
      </w:tr>
      <w:tr w:rsidR="00F664A5" w:rsidRPr="0076231E" w14:paraId="6C8DF759" w14:textId="77777777" w:rsidTr="009A1F8D">
        <w:trPr>
          <w:trHeight w:val="529"/>
          <w:jc w:val="center"/>
        </w:trPr>
        <w:tc>
          <w:tcPr>
            <w:tcW w:w="2274" w:type="dxa"/>
            <w:vAlign w:val="center"/>
          </w:tcPr>
          <w:p w14:paraId="2AD9519C" w14:textId="77777777" w:rsidR="00F664A5" w:rsidRDefault="00F664A5" w:rsidP="009A1F8D">
            <w:pPr>
              <w:spacing w:before="120" w:line="300" w:lineRule="auto"/>
            </w:pPr>
            <w:r>
              <w:rPr>
                <w:rFonts w:hint="eastAsia"/>
              </w:rPr>
              <w:t>Channel estimation and equalization</w:t>
            </w:r>
          </w:p>
        </w:tc>
        <w:tc>
          <w:tcPr>
            <w:tcW w:w="1652" w:type="dxa"/>
            <w:vAlign w:val="center"/>
          </w:tcPr>
          <w:p w14:paraId="6E1C9527" w14:textId="77777777" w:rsidR="00F664A5" w:rsidRDefault="00F664A5" w:rsidP="009A1F8D">
            <w:pPr>
              <w:spacing w:before="120" w:line="300" w:lineRule="auto"/>
            </w:pPr>
            <w:r>
              <w:rPr>
                <w:rFonts w:hint="eastAsia"/>
              </w:rPr>
              <w:t>4.8</w:t>
            </w:r>
          </w:p>
        </w:tc>
        <w:tc>
          <w:tcPr>
            <w:tcW w:w="1697" w:type="dxa"/>
            <w:vAlign w:val="center"/>
          </w:tcPr>
          <w:p w14:paraId="5992DDF2" w14:textId="6AC73B45" w:rsidR="00F664A5" w:rsidRPr="00E650E1" w:rsidRDefault="00F664A5" w:rsidP="009A1F8D">
            <w:pPr>
              <w:spacing w:before="120" w:line="300" w:lineRule="auto"/>
              <w:rPr>
                <w:vertAlign w:val="superscript"/>
              </w:rPr>
            </w:pPr>
            <w:r>
              <w:rPr>
                <w:rFonts w:hint="eastAsia"/>
              </w:rPr>
              <w:t>1.8</w:t>
            </w:r>
            <w:r w:rsidR="00746B57">
              <w:t xml:space="preserve"> </w:t>
            </w:r>
            <w:r w:rsidR="00746B57" w:rsidRPr="00746B57">
              <w:t>(see note a)</w:t>
            </w:r>
          </w:p>
        </w:tc>
        <w:tc>
          <w:tcPr>
            <w:tcW w:w="1697" w:type="dxa"/>
            <w:vAlign w:val="center"/>
          </w:tcPr>
          <w:p w14:paraId="72597297" w14:textId="77777777" w:rsidR="00F664A5" w:rsidRDefault="00F664A5" w:rsidP="009A1F8D">
            <w:pPr>
              <w:spacing w:before="120" w:line="300" w:lineRule="auto"/>
            </w:pPr>
            <w:r>
              <w:rPr>
                <w:rFonts w:hint="eastAsia"/>
              </w:rPr>
              <w:t>93.6</w:t>
            </w:r>
          </w:p>
        </w:tc>
      </w:tr>
      <w:tr w:rsidR="00F664A5" w:rsidRPr="0076231E" w14:paraId="226AC9B4" w14:textId="77777777" w:rsidTr="009A1F8D">
        <w:trPr>
          <w:trHeight w:val="771"/>
          <w:jc w:val="center"/>
        </w:trPr>
        <w:tc>
          <w:tcPr>
            <w:tcW w:w="2274" w:type="dxa"/>
            <w:vAlign w:val="center"/>
          </w:tcPr>
          <w:p w14:paraId="1D571223" w14:textId="57526659" w:rsidR="00F664A5" w:rsidRPr="0076231E" w:rsidRDefault="00F664A5" w:rsidP="009A1F8D">
            <w:pPr>
              <w:spacing w:before="120" w:line="300" w:lineRule="auto"/>
            </w:pPr>
            <w:r>
              <w:rPr>
                <w:rFonts w:hint="eastAsia"/>
              </w:rPr>
              <w:t>Sum of C</w:t>
            </w:r>
            <w:r w:rsidRPr="0076231E">
              <w:rPr>
                <w:rFonts w:hint="eastAsia"/>
              </w:rPr>
              <w:t>omputational complexity</w:t>
            </w:r>
            <w:r>
              <w:rPr>
                <w:rFonts w:hint="eastAsia"/>
              </w:rPr>
              <w:t xml:space="preserve"> (Mop/s) (see note</w:t>
            </w:r>
            <w:r w:rsidR="00E650E1">
              <w:t xml:space="preserve"> b</w:t>
            </w:r>
            <w:r>
              <w:rPr>
                <w:rFonts w:hint="eastAsia"/>
              </w:rPr>
              <w:t>)</w:t>
            </w:r>
          </w:p>
        </w:tc>
        <w:tc>
          <w:tcPr>
            <w:tcW w:w="1652" w:type="dxa"/>
            <w:vAlign w:val="center"/>
          </w:tcPr>
          <w:p w14:paraId="305F857C" w14:textId="0F2D4EA9" w:rsidR="00F664A5" w:rsidRPr="00E650E1" w:rsidRDefault="00F664A5" w:rsidP="009A1F8D">
            <w:pPr>
              <w:spacing w:before="120" w:line="300" w:lineRule="auto"/>
              <w:rPr>
                <w:vertAlign w:val="superscript"/>
              </w:rPr>
            </w:pPr>
            <w:r>
              <w:rPr>
                <w:rFonts w:hint="eastAsia"/>
              </w:rPr>
              <w:t>173.0</w:t>
            </w:r>
          </w:p>
        </w:tc>
        <w:tc>
          <w:tcPr>
            <w:tcW w:w="1697" w:type="dxa"/>
            <w:vAlign w:val="center"/>
          </w:tcPr>
          <w:p w14:paraId="5B90A56F" w14:textId="1281D370" w:rsidR="00F664A5" w:rsidRPr="00E650E1" w:rsidRDefault="002B45E1" w:rsidP="009A1F8D">
            <w:pPr>
              <w:spacing w:before="120" w:line="300" w:lineRule="auto"/>
              <w:rPr>
                <w:vertAlign w:val="superscript"/>
              </w:rPr>
            </w:pPr>
            <w:r>
              <w:t>92.4</w:t>
            </w:r>
          </w:p>
        </w:tc>
        <w:tc>
          <w:tcPr>
            <w:tcW w:w="1697" w:type="dxa"/>
            <w:vAlign w:val="center"/>
          </w:tcPr>
          <w:p w14:paraId="572786CA" w14:textId="2A97D95E" w:rsidR="00F664A5" w:rsidRPr="00E650E1" w:rsidRDefault="00F664A5" w:rsidP="009A1F8D">
            <w:pPr>
              <w:spacing w:before="120" w:line="300" w:lineRule="auto"/>
              <w:rPr>
                <w:vertAlign w:val="superscript"/>
              </w:rPr>
            </w:pPr>
            <w:r>
              <w:rPr>
                <w:rFonts w:hint="eastAsia"/>
              </w:rPr>
              <w:t>12113.0</w:t>
            </w:r>
          </w:p>
        </w:tc>
      </w:tr>
      <w:tr w:rsidR="00F664A5" w:rsidRPr="0076231E" w14:paraId="30CC52C5" w14:textId="77777777" w:rsidTr="009A1F8D">
        <w:trPr>
          <w:trHeight w:val="771"/>
          <w:jc w:val="center"/>
        </w:trPr>
        <w:tc>
          <w:tcPr>
            <w:tcW w:w="7320" w:type="dxa"/>
            <w:gridSpan w:val="4"/>
            <w:vAlign w:val="center"/>
          </w:tcPr>
          <w:p w14:paraId="26EA7756" w14:textId="13B57F47" w:rsidR="00E650E1" w:rsidRDefault="00E650E1" w:rsidP="009A1F8D">
            <w:pPr>
              <w:spacing w:before="120" w:line="300" w:lineRule="auto"/>
            </w:pPr>
            <w:r>
              <w:t xml:space="preserve">Note a: These values are taken from </w:t>
            </w:r>
            <w:r w:rsidR="002B45E1">
              <w:fldChar w:fldCharType="begin"/>
            </w:r>
            <w:r w:rsidR="002B45E1">
              <w:instrText xml:space="preserve"> REF _Ref434584538 \n \h </w:instrText>
            </w:r>
            <w:r w:rsidR="002B45E1">
              <w:fldChar w:fldCharType="separate"/>
            </w:r>
            <w:r w:rsidR="00746B57">
              <w:t>[3]</w:t>
            </w:r>
            <w:r w:rsidR="002B45E1">
              <w:fldChar w:fldCharType="end"/>
            </w:r>
            <w:r>
              <w:t>.</w:t>
            </w:r>
          </w:p>
          <w:p w14:paraId="045A6A3F" w14:textId="77777777" w:rsidR="00F664A5" w:rsidRDefault="00F664A5" w:rsidP="00E650E1">
            <w:pPr>
              <w:spacing w:before="120" w:line="300" w:lineRule="auto"/>
            </w:pPr>
            <w:r w:rsidRPr="00D93431">
              <w:rPr>
                <w:rFonts w:hint="eastAsia"/>
              </w:rPr>
              <w:t>Note</w:t>
            </w:r>
            <w:r w:rsidR="00E650E1">
              <w:t xml:space="preserve"> b</w:t>
            </w:r>
            <w:r w:rsidRPr="00D93431">
              <w:rPr>
                <w:rFonts w:hint="eastAsia"/>
              </w:rPr>
              <w:t xml:space="preserve">: </w:t>
            </w:r>
            <w:r w:rsidR="00E650E1">
              <w:t xml:space="preserve">Numbers are doubled due to the use of </w:t>
            </w:r>
            <w:r w:rsidRPr="00D93431">
              <w:rPr>
                <w:rFonts w:hint="eastAsia"/>
              </w:rPr>
              <w:t xml:space="preserve">two receiving </w:t>
            </w:r>
            <w:r w:rsidR="00E650E1">
              <w:t>branches</w:t>
            </w:r>
            <w:r w:rsidRPr="00D93431">
              <w:rPr>
                <w:rFonts w:hint="eastAsia"/>
              </w:rPr>
              <w:t>.</w:t>
            </w:r>
          </w:p>
          <w:p w14:paraId="75C8BB74" w14:textId="7B0B02FB" w:rsidR="00BA04FA" w:rsidRPr="00D93431" w:rsidRDefault="00BA04FA" w:rsidP="00E650E1">
            <w:pPr>
              <w:spacing w:before="120" w:line="300" w:lineRule="auto"/>
            </w:pPr>
            <w:r>
              <w:t xml:space="preserve">Note c: The number of operations is included in </w:t>
            </w:r>
            <w:proofErr w:type="spellStart"/>
            <w:r>
              <w:t>ToA</w:t>
            </w:r>
            <w:proofErr w:type="spellEnd"/>
            <w:r>
              <w:t xml:space="preserve"> estimation. </w:t>
            </w:r>
          </w:p>
        </w:tc>
      </w:tr>
    </w:tbl>
    <w:p w14:paraId="39286FA1" w14:textId="77777777" w:rsidR="00AD0A11" w:rsidRDefault="00AD0A11" w:rsidP="00F664A5">
      <w:pPr>
        <w:rPr>
          <w:rFonts w:ascii="Times New Roman" w:hAnsi="Times New Roman"/>
          <w:i/>
        </w:rPr>
      </w:pPr>
    </w:p>
    <w:p w14:paraId="7BA91DFC" w14:textId="186A1B48" w:rsidR="00F664A5" w:rsidRPr="00D93431" w:rsidRDefault="00D93431" w:rsidP="00F664A5">
      <w:pPr>
        <w:rPr>
          <w:rFonts w:ascii="Times New Roman" w:hAnsi="Times New Roman"/>
          <w:i/>
        </w:rPr>
      </w:pPr>
      <w:r w:rsidRPr="00D93431">
        <w:rPr>
          <w:rFonts w:ascii="Times New Roman" w:hAnsi="Times New Roman"/>
          <w:i/>
        </w:rPr>
        <w:t xml:space="preserve">Observation </w:t>
      </w:r>
      <w:r w:rsidR="002B45E1">
        <w:rPr>
          <w:rFonts w:ascii="Times New Roman" w:hAnsi="Times New Roman"/>
          <w:i/>
        </w:rPr>
        <w:t>4</w:t>
      </w:r>
      <w:r w:rsidRPr="00D93431">
        <w:rPr>
          <w:rFonts w:ascii="Times New Roman" w:hAnsi="Times New Roman"/>
          <w:i/>
        </w:rPr>
        <w:t xml:space="preserve">: By using efficient designs at the BS, the computational complexity at the BS receiver is </w:t>
      </w:r>
      <w:r w:rsidR="00AD0A11">
        <w:rPr>
          <w:rFonts w:ascii="Times New Roman" w:hAnsi="Times New Roman"/>
          <w:i/>
        </w:rPr>
        <w:t xml:space="preserve">much smaller for SC-FDMA than for FDMA. </w:t>
      </w:r>
    </w:p>
    <w:p w14:paraId="533BBE5C" w14:textId="48D64992" w:rsidR="00F664A5" w:rsidRDefault="0007232F" w:rsidP="0007232F">
      <w:pPr>
        <w:pStyle w:val="Heading1"/>
      </w:pPr>
      <w:r>
        <w:t>Conclusions</w:t>
      </w:r>
    </w:p>
    <w:p w14:paraId="69C86BA3" w14:textId="75B3FF66" w:rsidR="0007232F" w:rsidRDefault="0007232F" w:rsidP="0007232F">
      <w:r>
        <w:t xml:space="preserve">In this contribution, based on the discussion, we have the following observations. </w:t>
      </w:r>
    </w:p>
    <w:p w14:paraId="19AED149" w14:textId="77777777" w:rsidR="0007232F" w:rsidRPr="00B31AA1" w:rsidRDefault="0007232F" w:rsidP="0007232F">
      <w:pPr>
        <w:rPr>
          <w:rFonts w:ascii="Times New Roman" w:hAnsi="Times New Roman"/>
          <w:i/>
        </w:rPr>
      </w:pPr>
      <w:r w:rsidRPr="00B31AA1">
        <w:rPr>
          <w:rFonts w:ascii="Times New Roman" w:hAnsi="Times New Roman"/>
          <w:i/>
        </w:rPr>
        <w:t>Observation 1: Supporting NB-</w:t>
      </w:r>
      <w:proofErr w:type="spellStart"/>
      <w:r w:rsidRPr="00B31AA1">
        <w:rPr>
          <w:rFonts w:ascii="Times New Roman" w:hAnsi="Times New Roman"/>
          <w:i/>
        </w:rPr>
        <w:t>IoT</w:t>
      </w:r>
      <w:proofErr w:type="spellEnd"/>
      <w:r w:rsidRPr="00B31AA1">
        <w:rPr>
          <w:rFonts w:ascii="Times New Roman" w:hAnsi="Times New Roman"/>
          <w:i/>
        </w:rPr>
        <w:t xml:space="preserve"> system with 3.75 kHz subcarrier spacing is more costly than supporting NB-</w:t>
      </w:r>
      <w:proofErr w:type="spellStart"/>
      <w:r w:rsidRPr="00B31AA1">
        <w:rPr>
          <w:rFonts w:ascii="Times New Roman" w:hAnsi="Times New Roman"/>
          <w:i/>
        </w:rPr>
        <w:t>IoT</w:t>
      </w:r>
      <w:proofErr w:type="spellEnd"/>
      <w:r w:rsidRPr="00B31AA1">
        <w:rPr>
          <w:rFonts w:ascii="Times New Roman" w:hAnsi="Times New Roman"/>
          <w:i/>
        </w:rPr>
        <w:t xml:space="preserve"> system with 15 kHz subcarrier spacing in the guard-band deployment. Due to lacking of information, cost of deploy NB-</w:t>
      </w:r>
      <w:proofErr w:type="spellStart"/>
      <w:r w:rsidRPr="00B31AA1">
        <w:rPr>
          <w:rFonts w:ascii="Times New Roman" w:hAnsi="Times New Roman"/>
          <w:i/>
        </w:rPr>
        <w:t>IoT</w:t>
      </w:r>
      <w:proofErr w:type="spellEnd"/>
      <w:r w:rsidRPr="00B31AA1">
        <w:rPr>
          <w:rFonts w:ascii="Times New Roman" w:hAnsi="Times New Roman"/>
          <w:i/>
        </w:rPr>
        <w:t xml:space="preserve"> system with 3.75 kHz subcarrier spacing cannot be estimated.</w:t>
      </w:r>
    </w:p>
    <w:p w14:paraId="1559D2DC" w14:textId="629F90FE" w:rsidR="0007232F" w:rsidRPr="00B31AA1" w:rsidRDefault="0007232F" w:rsidP="0007232F">
      <w:pPr>
        <w:rPr>
          <w:rFonts w:ascii="Times New Roman" w:hAnsi="Times New Roman"/>
          <w:i/>
        </w:rPr>
      </w:pPr>
      <w:r w:rsidRPr="00B31AA1">
        <w:rPr>
          <w:rFonts w:ascii="Times New Roman" w:hAnsi="Times New Roman"/>
          <w:i/>
        </w:rPr>
        <w:t>Observation 2: For in-band and guard-band deployment, NB-</w:t>
      </w:r>
      <w:proofErr w:type="spellStart"/>
      <w:r w:rsidRPr="00B31AA1">
        <w:rPr>
          <w:rFonts w:ascii="Times New Roman" w:hAnsi="Times New Roman"/>
          <w:i/>
        </w:rPr>
        <w:t>IoT</w:t>
      </w:r>
      <w:proofErr w:type="spellEnd"/>
      <w:r w:rsidRPr="00B31AA1">
        <w:rPr>
          <w:rFonts w:ascii="Times New Roman" w:hAnsi="Times New Roman"/>
          <w:i/>
        </w:rPr>
        <w:t xml:space="preserve"> system with 15 kHz subcarrier spacing has no increase over LTE IFFT processing, and no additional channel filtering or guard-spacing between the NB-</w:t>
      </w:r>
      <w:proofErr w:type="spellStart"/>
      <w:r w:rsidRPr="00B31AA1">
        <w:rPr>
          <w:rFonts w:ascii="Times New Roman" w:hAnsi="Times New Roman"/>
          <w:i/>
        </w:rPr>
        <w:t>IoT</w:t>
      </w:r>
      <w:proofErr w:type="spellEnd"/>
      <w:r w:rsidRPr="00B31AA1">
        <w:rPr>
          <w:rFonts w:ascii="Times New Roman" w:hAnsi="Times New Roman"/>
          <w:i/>
        </w:rPr>
        <w:t xml:space="preserve"> carrier and the LTE carrier are needed. For NB-</w:t>
      </w:r>
      <w:proofErr w:type="spellStart"/>
      <w:r w:rsidRPr="00B31AA1">
        <w:rPr>
          <w:rFonts w:ascii="Times New Roman" w:hAnsi="Times New Roman"/>
          <w:i/>
        </w:rPr>
        <w:t>IoT</w:t>
      </w:r>
      <w:proofErr w:type="spellEnd"/>
      <w:r w:rsidRPr="00B31AA1">
        <w:rPr>
          <w:rFonts w:ascii="Times New Roman" w:hAnsi="Times New Roman"/>
          <w:i/>
        </w:rPr>
        <w:t xml:space="preserve"> system with 3.75 kHz subcarrier spacing, at least an addition of 3.944 million operations per second are needed for the IFFT operation, and a 200 kHz guard-spacing is needed in the guard-band deployment.</w:t>
      </w:r>
    </w:p>
    <w:p w14:paraId="62BF4894" w14:textId="3FBB9867" w:rsidR="0007232F" w:rsidRPr="00B31AA1" w:rsidRDefault="0007232F" w:rsidP="0007232F">
      <w:pPr>
        <w:rPr>
          <w:rFonts w:ascii="Times New Roman" w:hAnsi="Times New Roman"/>
          <w:i/>
        </w:rPr>
      </w:pPr>
      <w:r w:rsidRPr="00B31AA1">
        <w:rPr>
          <w:rFonts w:ascii="Times New Roman" w:hAnsi="Times New Roman"/>
          <w:i/>
        </w:rPr>
        <w:t>Observation 3: SC-FDMA design can re-use the processing components in the current MSR BS that supports LTE. But for UL with FDMA, additional development and test costs are foreseeable, especially to support two different classes of UEs.</w:t>
      </w:r>
    </w:p>
    <w:p w14:paraId="5C7BC23C" w14:textId="26882F28" w:rsidR="00B31AA1" w:rsidRPr="00B31AA1" w:rsidRDefault="00B31AA1" w:rsidP="0007232F">
      <w:pPr>
        <w:rPr>
          <w:rFonts w:ascii="Times New Roman" w:hAnsi="Times New Roman"/>
          <w:i/>
        </w:rPr>
      </w:pPr>
      <w:r w:rsidRPr="00B31AA1">
        <w:rPr>
          <w:rFonts w:ascii="Times New Roman" w:hAnsi="Times New Roman"/>
          <w:i/>
        </w:rPr>
        <w:t xml:space="preserve">Observation </w:t>
      </w:r>
      <w:r w:rsidR="002B45E1">
        <w:rPr>
          <w:rFonts w:ascii="Times New Roman" w:hAnsi="Times New Roman"/>
          <w:i/>
        </w:rPr>
        <w:t>4</w:t>
      </w:r>
      <w:r w:rsidRPr="00B31AA1">
        <w:rPr>
          <w:rFonts w:ascii="Times New Roman" w:hAnsi="Times New Roman"/>
          <w:i/>
        </w:rPr>
        <w:t>: By using efficient designs at the BS, the computational complexity at the BS receiver is much smaller for SC-FDMA than for FDMA.</w:t>
      </w:r>
    </w:p>
    <w:p w14:paraId="577D2743" w14:textId="0891D806" w:rsidR="00CA53DD" w:rsidRPr="00771584" w:rsidRDefault="00CA53DD" w:rsidP="00253C39">
      <w:pPr>
        <w:pStyle w:val="Heading1"/>
      </w:pPr>
      <w:r w:rsidRPr="00771584">
        <w:t>References</w:t>
      </w:r>
    </w:p>
    <w:p w14:paraId="2F915458" w14:textId="77777777" w:rsidR="00771584" w:rsidRPr="00771584" w:rsidRDefault="00771584" w:rsidP="00771584">
      <w:pPr>
        <w:pStyle w:val="Reference"/>
      </w:pPr>
      <w:bookmarkStart w:id="3" w:name="_Ref434582159"/>
      <w:bookmarkStart w:id="4" w:name="_Ref397674406"/>
      <w:bookmarkStart w:id="5" w:name="_Ref403069021"/>
      <w:bookmarkStart w:id="6" w:name="_Ref384735847"/>
      <w:r w:rsidRPr="00771584">
        <w:t xml:space="preserve">RP-151621, "New Work Item: </w:t>
      </w:r>
      <w:proofErr w:type="spellStart"/>
      <w:r w:rsidRPr="00771584">
        <w:t>NarrowBand</w:t>
      </w:r>
      <w:proofErr w:type="spellEnd"/>
      <w:r w:rsidRPr="00771584">
        <w:t xml:space="preserve"> IOT (NB-IOT)," source Qualcomm Inc., RAN #69.</w:t>
      </w:r>
      <w:bookmarkEnd w:id="3"/>
    </w:p>
    <w:p w14:paraId="577D2744" w14:textId="404E5108" w:rsidR="00CA53DD" w:rsidRPr="00771584" w:rsidRDefault="00CA53DD" w:rsidP="001B5230">
      <w:pPr>
        <w:pStyle w:val="Reference"/>
      </w:pPr>
      <w:r w:rsidRPr="00771584">
        <w:t>GP-140421, “New Study Item on Cellular System Support for Ultra Low Complexity and Low Throughput Internet of Things (FS_IoT_LC) (revision of GP-140418)”, source VODAFONE Group Plc. GERAN#62</w:t>
      </w:r>
      <w:bookmarkEnd w:id="4"/>
      <w:r w:rsidRPr="00771584">
        <w:t>.</w:t>
      </w:r>
      <w:bookmarkEnd w:id="5"/>
    </w:p>
    <w:p w14:paraId="1F0376D9" w14:textId="09A4C963" w:rsidR="00F25FD8" w:rsidRDefault="00F25FD8" w:rsidP="00F25FD8">
      <w:pPr>
        <w:pStyle w:val="Reference"/>
      </w:pPr>
      <w:bookmarkStart w:id="7" w:name="_Ref434584538"/>
      <w:bookmarkStart w:id="8" w:name="_Ref434582236"/>
      <w:r w:rsidRPr="00F25FD8">
        <w:t>R1-155965</w:t>
      </w:r>
      <w:r>
        <w:t>, “</w:t>
      </w:r>
      <w:r w:rsidRPr="00F25FD8">
        <w:t>Base Station Complexity Analysis</w:t>
      </w:r>
      <w:r>
        <w:t xml:space="preserve">”, source </w:t>
      </w:r>
      <w:r w:rsidRPr="00F25FD8">
        <w:t>Huawei, HiSilicon</w:t>
      </w:r>
      <w:r>
        <w:t xml:space="preserve">, RAN#82bis, </w:t>
      </w:r>
      <w:r w:rsidRPr="00F25FD8">
        <w:t>Malmo, Sweden, October 5-9, 2015</w:t>
      </w:r>
      <w:r>
        <w:t>.</w:t>
      </w:r>
      <w:bookmarkEnd w:id="7"/>
    </w:p>
    <w:p w14:paraId="7EA04640" w14:textId="5E8941CA" w:rsidR="004A7311" w:rsidRDefault="004A7311" w:rsidP="004A7311">
      <w:pPr>
        <w:pStyle w:val="Reference"/>
      </w:pPr>
      <w:bookmarkStart w:id="9" w:name="_Ref434585669"/>
      <w:r w:rsidRPr="00771584">
        <w:t>3GPP TR 45.820, “Technical Specification Group GSM/EDGE Radio Access Network; Cellular System Support for Ultra Low Complexity and Low Throughput Internet of Things,” Aug. 2015, v.2.</w:t>
      </w:r>
      <w:r w:rsidR="00643090" w:rsidRPr="00771584">
        <w:t>1</w:t>
      </w:r>
      <w:r w:rsidRPr="00771584">
        <w:t>.0.</w:t>
      </w:r>
      <w:bookmarkEnd w:id="8"/>
      <w:bookmarkEnd w:id="9"/>
    </w:p>
    <w:p w14:paraId="563804C8" w14:textId="006C1B17" w:rsidR="00F25FD8" w:rsidRDefault="00F25FD8" w:rsidP="00F25FD8">
      <w:pPr>
        <w:pStyle w:val="Reference"/>
      </w:pPr>
      <w:bookmarkStart w:id="10" w:name="_Ref426031100"/>
      <w:r w:rsidRPr="009A7626">
        <w:t xml:space="preserve">R. </w:t>
      </w:r>
      <w:proofErr w:type="spellStart"/>
      <w:r w:rsidRPr="009A7626">
        <w:t>Yavne</w:t>
      </w:r>
      <w:proofErr w:type="spellEnd"/>
      <w:r w:rsidRPr="009A7626">
        <w:t>, “An economical method for calculating the discrete Fourier transform”, Proc. AFIPS Fall Joint Computer Conf. 33, 115–125 (1968).</w:t>
      </w:r>
      <w:bookmarkEnd w:id="10"/>
    </w:p>
    <w:p w14:paraId="04A14C01" w14:textId="576F5373" w:rsidR="00B85B48" w:rsidRPr="00B81E81" w:rsidRDefault="00B85B48" w:rsidP="00F25FD8">
      <w:pPr>
        <w:pStyle w:val="Reference"/>
      </w:pPr>
      <w:bookmarkStart w:id="11" w:name="_Ref434585252"/>
      <w:r w:rsidRPr="00B85B48">
        <w:rPr>
          <w:lang w:val="en-US"/>
        </w:rPr>
        <w:t>RP-151359, “NB-</w:t>
      </w:r>
      <w:proofErr w:type="spellStart"/>
      <w:r w:rsidRPr="00B85B48">
        <w:rPr>
          <w:lang w:val="en-US"/>
        </w:rPr>
        <w:t>CIoT</w:t>
      </w:r>
      <w:proofErr w:type="spellEnd"/>
      <w:r w:rsidRPr="00B85B48">
        <w:rPr>
          <w:lang w:val="en-US"/>
        </w:rPr>
        <w:t xml:space="preserve"> – Deployment Scenarios”, source Huawei, RAN#69, Phoenix, USA, 14 -16 September 2015</w:t>
      </w:r>
      <w:bookmarkEnd w:id="11"/>
    </w:p>
    <w:p w14:paraId="3544BAA6" w14:textId="19759CB0" w:rsidR="00E9316B" w:rsidRDefault="002466E2" w:rsidP="00501CF8">
      <w:pPr>
        <w:pStyle w:val="Reference"/>
      </w:pPr>
      <w:bookmarkStart w:id="12" w:name="_Ref434585869"/>
      <w:r w:rsidRPr="002466E2">
        <w:lastRenderedPageBreak/>
        <w:t>R1-157424</w:t>
      </w:r>
      <w:r w:rsidR="00B81E81">
        <w:t>, “</w:t>
      </w:r>
      <w:r>
        <w:t>NB</w:t>
      </w:r>
      <w:r w:rsidR="00B81E81" w:rsidRPr="00B81E81">
        <w:t xml:space="preserve"> </w:t>
      </w:r>
      <w:proofErr w:type="spellStart"/>
      <w:r w:rsidR="00B81E81" w:rsidRPr="00B81E81">
        <w:t>IoT</w:t>
      </w:r>
      <w:proofErr w:type="spellEnd"/>
      <w:r w:rsidR="00B81E81" w:rsidRPr="00B81E81">
        <w:t xml:space="preserve"> – Random Access Design</w:t>
      </w:r>
      <w:r w:rsidR="00B81E81">
        <w:t>”, source Ericsson, RAN1#83, 15th – 22th November 2015 Anaheim, USA.</w:t>
      </w:r>
      <w:bookmarkEnd w:id="12"/>
    </w:p>
    <w:bookmarkEnd w:id="6"/>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94194" w14:textId="77777777" w:rsidR="00D64266" w:rsidRDefault="00D64266">
      <w:pPr>
        <w:spacing w:after="0"/>
      </w:pPr>
      <w:r>
        <w:separator/>
      </w:r>
    </w:p>
  </w:endnote>
  <w:endnote w:type="continuationSeparator" w:id="0">
    <w:p w14:paraId="2CBFCEB5" w14:textId="77777777" w:rsidR="00D64266" w:rsidRDefault="00D64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295752">
      <w:rPr>
        <w:rStyle w:val="PageNumber"/>
      </w:rPr>
      <w:t>3</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752">
      <w:rPr>
        <w:rStyle w:val="PageNumber"/>
      </w:rPr>
      <w:t>5</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501C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CF8">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367E2" w14:textId="77777777" w:rsidR="00D64266" w:rsidRDefault="00D64266">
      <w:pPr>
        <w:spacing w:after="0"/>
      </w:pPr>
      <w:r>
        <w:separator/>
      </w:r>
    </w:p>
  </w:footnote>
  <w:footnote w:type="continuationSeparator" w:id="0">
    <w:p w14:paraId="728788A2" w14:textId="77777777" w:rsidR="00D64266" w:rsidRDefault="00D64266">
      <w:pPr>
        <w:spacing w:after="0"/>
      </w:pPr>
      <w:r>
        <w:continuationSeparator/>
      </w:r>
    </w:p>
  </w:footnote>
  <w:footnote w:id="1">
    <w:p w14:paraId="29B53202" w14:textId="3CA18923" w:rsidR="00171104" w:rsidRPr="00171104" w:rsidRDefault="00171104" w:rsidP="00171104">
      <w:pPr>
        <w:pStyle w:val="FootnoteText"/>
        <w:rPr>
          <w:lang w:val="en-US"/>
        </w:rPr>
      </w:pPr>
      <w:r>
        <w:rPr>
          <w:rStyle w:val="FootnoteReference"/>
        </w:rPr>
        <w:footnoteRef/>
      </w:r>
      <w:r>
        <w:t xml:space="preserve"> </w:t>
      </w:r>
      <w:r>
        <w:rPr>
          <w:lang w:val="en-US"/>
        </w:rPr>
        <w:t xml:space="preserve">If some of the sequences are generated from the same root, the detection complexity can be further reduced by observing different cyclic shifts values.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8"/>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7"/>
  </w:num>
  <w:num w:numId="24">
    <w:abstractNumId w:val="2"/>
  </w:num>
  <w:num w:numId="25">
    <w:abstractNumId w:val="15"/>
  </w:num>
  <w:num w:numId="26">
    <w:abstractNumId w:val="18"/>
  </w:num>
  <w:num w:numId="27">
    <w:abstractNumId w:val="5"/>
  </w:num>
  <w:num w:numId="28">
    <w:abstractNumId w:val="0"/>
  </w:num>
  <w:num w:numId="29">
    <w:abstractNumId w:val="17"/>
  </w:num>
  <w:num w:numId="30">
    <w:abstractNumId w:val="26"/>
  </w:num>
  <w:num w:numId="31">
    <w:abstractNumId w:val="23"/>
  </w:num>
  <w:num w:numId="32">
    <w:abstractNumId w:val="30"/>
  </w:num>
  <w:num w:numId="33">
    <w:abstractNumId w:val="10"/>
  </w:num>
  <w:num w:numId="34">
    <w:abstractNumId w:val="21"/>
  </w:num>
  <w:num w:numId="35">
    <w:abstractNumId w:val="2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11"/>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AEE"/>
    <w:rsid w:val="00011280"/>
    <w:rsid w:val="0001270B"/>
    <w:rsid w:val="00013440"/>
    <w:rsid w:val="00013F4F"/>
    <w:rsid w:val="00017366"/>
    <w:rsid w:val="000218D3"/>
    <w:rsid w:val="000237B9"/>
    <w:rsid w:val="0002572A"/>
    <w:rsid w:val="00027311"/>
    <w:rsid w:val="00027D60"/>
    <w:rsid w:val="00031103"/>
    <w:rsid w:val="00035879"/>
    <w:rsid w:val="00036AAB"/>
    <w:rsid w:val="00037FA7"/>
    <w:rsid w:val="00042044"/>
    <w:rsid w:val="00042A4F"/>
    <w:rsid w:val="00045400"/>
    <w:rsid w:val="0004621B"/>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2F"/>
    <w:rsid w:val="00072382"/>
    <w:rsid w:val="00083E83"/>
    <w:rsid w:val="000857F2"/>
    <w:rsid w:val="00087350"/>
    <w:rsid w:val="0008796B"/>
    <w:rsid w:val="00091A7F"/>
    <w:rsid w:val="00093C23"/>
    <w:rsid w:val="00093FC2"/>
    <w:rsid w:val="00096C16"/>
    <w:rsid w:val="000A207F"/>
    <w:rsid w:val="000A29C6"/>
    <w:rsid w:val="000A4FF9"/>
    <w:rsid w:val="000A6510"/>
    <w:rsid w:val="000B2C9C"/>
    <w:rsid w:val="000B31DD"/>
    <w:rsid w:val="000B3334"/>
    <w:rsid w:val="000B462B"/>
    <w:rsid w:val="000B484A"/>
    <w:rsid w:val="000B5B8E"/>
    <w:rsid w:val="000B7F6F"/>
    <w:rsid w:val="000C18F3"/>
    <w:rsid w:val="000C2715"/>
    <w:rsid w:val="000C3C4D"/>
    <w:rsid w:val="000C7570"/>
    <w:rsid w:val="000C7F06"/>
    <w:rsid w:val="000D036A"/>
    <w:rsid w:val="000D23D7"/>
    <w:rsid w:val="000D451A"/>
    <w:rsid w:val="000D4E16"/>
    <w:rsid w:val="000E114A"/>
    <w:rsid w:val="000E2D68"/>
    <w:rsid w:val="000E2DED"/>
    <w:rsid w:val="000E3586"/>
    <w:rsid w:val="000E4E27"/>
    <w:rsid w:val="000E63C3"/>
    <w:rsid w:val="000E71AB"/>
    <w:rsid w:val="000E7F68"/>
    <w:rsid w:val="000F125C"/>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ED8"/>
    <w:rsid w:val="001311CC"/>
    <w:rsid w:val="001354B2"/>
    <w:rsid w:val="0013625C"/>
    <w:rsid w:val="00140C24"/>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5169"/>
    <w:rsid w:val="00167432"/>
    <w:rsid w:val="0017094F"/>
    <w:rsid w:val="00171104"/>
    <w:rsid w:val="00172588"/>
    <w:rsid w:val="001726EA"/>
    <w:rsid w:val="0017281E"/>
    <w:rsid w:val="001738F4"/>
    <w:rsid w:val="00174542"/>
    <w:rsid w:val="00174768"/>
    <w:rsid w:val="00177929"/>
    <w:rsid w:val="0018252D"/>
    <w:rsid w:val="0018259F"/>
    <w:rsid w:val="00182960"/>
    <w:rsid w:val="00184BE0"/>
    <w:rsid w:val="001852C0"/>
    <w:rsid w:val="0018745C"/>
    <w:rsid w:val="00190C7B"/>
    <w:rsid w:val="00191B11"/>
    <w:rsid w:val="00194A90"/>
    <w:rsid w:val="001A0E97"/>
    <w:rsid w:val="001A31D4"/>
    <w:rsid w:val="001A3ADC"/>
    <w:rsid w:val="001A4488"/>
    <w:rsid w:val="001B3005"/>
    <w:rsid w:val="001B4BA9"/>
    <w:rsid w:val="001B5230"/>
    <w:rsid w:val="001B578B"/>
    <w:rsid w:val="001B58B6"/>
    <w:rsid w:val="001C6000"/>
    <w:rsid w:val="001D06AC"/>
    <w:rsid w:val="001D07A5"/>
    <w:rsid w:val="001D6BC7"/>
    <w:rsid w:val="001E1C9C"/>
    <w:rsid w:val="001E213E"/>
    <w:rsid w:val="001E272E"/>
    <w:rsid w:val="001E2E2B"/>
    <w:rsid w:val="001E582A"/>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66E2"/>
    <w:rsid w:val="00247898"/>
    <w:rsid w:val="002533A6"/>
    <w:rsid w:val="00253C39"/>
    <w:rsid w:val="00255DB5"/>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95752"/>
    <w:rsid w:val="0029655B"/>
    <w:rsid w:val="002A5DC6"/>
    <w:rsid w:val="002B07C7"/>
    <w:rsid w:val="002B11BE"/>
    <w:rsid w:val="002B368A"/>
    <w:rsid w:val="002B45E1"/>
    <w:rsid w:val="002B4986"/>
    <w:rsid w:val="002B5026"/>
    <w:rsid w:val="002C3811"/>
    <w:rsid w:val="002C39D5"/>
    <w:rsid w:val="002C6DB8"/>
    <w:rsid w:val="002D14F3"/>
    <w:rsid w:val="002D3252"/>
    <w:rsid w:val="002D43CF"/>
    <w:rsid w:val="002D4EAD"/>
    <w:rsid w:val="002D5B4C"/>
    <w:rsid w:val="002D6C26"/>
    <w:rsid w:val="002E0C4C"/>
    <w:rsid w:val="002E499D"/>
    <w:rsid w:val="002E4B80"/>
    <w:rsid w:val="002F3FAE"/>
    <w:rsid w:val="002F6BC2"/>
    <w:rsid w:val="002F7983"/>
    <w:rsid w:val="003013DF"/>
    <w:rsid w:val="00312CFF"/>
    <w:rsid w:val="003140E8"/>
    <w:rsid w:val="00320D05"/>
    <w:rsid w:val="00322939"/>
    <w:rsid w:val="00322C8D"/>
    <w:rsid w:val="00323F7A"/>
    <w:rsid w:val="00324758"/>
    <w:rsid w:val="00327656"/>
    <w:rsid w:val="003305C3"/>
    <w:rsid w:val="00332C78"/>
    <w:rsid w:val="00335026"/>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75328"/>
    <w:rsid w:val="0038104D"/>
    <w:rsid w:val="00383CE6"/>
    <w:rsid w:val="0038496E"/>
    <w:rsid w:val="00384D96"/>
    <w:rsid w:val="00390692"/>
    <w:rsid w:val="0039083F"/>
    <w:rsid w:val="00390ADB"/>
    <w:rsid w:val="003A0C22"/>
    <w:rsid w:val="003A0D58"/>
    <w:rsid w:val="003A646E"/>
    <w:rsid w:val="003A6896"/>
    <w:rsid w:val="003B2F31"/>
    <w:rsid w:val="003B5666"/>
    <w:rsid w:val="003B5975"/>
    <w:rsid w:val="003C0191"/>
    <w:rsid w:val="003C72EE"/>
    <w:rsid w:val="003D15A1"/>
    <w:rsid w:val="003D273D"/>
    <w:rsid w:val="003D3EEA"/>
    <w:rsid w:val="003D5712"/>
    <w:rsid w:val="003E2B02"/>
    <w:rsid w:val="003E3C3F"/>
    <w:rsid w:val="003E54AE"/>
    <w:rsid w:val="003E6309"/>
    <w:rsid w:val="003E70DE"/>
    <w:rsid w:val="003E7A09"/>
    <w:rsid w:val="003F1E4A"/>
    <w:rsid w:val="003F20EB"/>
    <w:rsid w:val="003F2D08"/>
    <w:rsid w:val="003F2DD5"/>
    <w:rsid w:val="003F411D"/>
    <w:rsid w:val="003F430C"/>
    <w:rsid w:val="003F614C"/>
    <w:rsid w:val="003F6C3A"/>
    <w:rsid w:val="00401315"/>
    <w:rsid w:val="0040291E"/>
    <w:rsid w:val="00405F52"/>
    <w:rsid w:val="004077BE"/>
    <w:rsid w:val="00411778"/>
    <w:rsid w:val="00414004"/>
    <w:rsid w:val="00414D8B"/>
    <w:rsid w:val="00414F7A"/>
    <w:rsid w:val="00417BD7"/>
    <w:rsid w:val="00420701"/>
    <w:rsid w:val="00420745"/>
    <w:rsid w:val="00425B94"/>
    <w:rsid w:val="004264B6"/>
    <w:rsid w:val="00427DC8"/>
    <w:rsid w:val="004373A6"/>
    <w:rsid w:val="004375FE"/>
    <w:rsid w:val="00437704"/>
    <w:rsid w:val="00440089"/>
    <w:rsid w:val="00443BBF"/>
    <w:rsid w:val="00447F5B"/>
    <w:rsid w:val="004526E0"/>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92803"/>
    <w:rsid w:val="004A0B27"/>
    <w:rsid w:val="004A0C80"/>
    <w:rsid w:val="004A0D5B"/>
    <w:rsid w:val="004A2D23"/>
    <w:rsid w:val="004A7311"/>
    <w:rsid w:val="004A74BA"/>
    <w:rsid w:val="004B067D"/>
    <w:rsid w:val="004B446B"/>
    <w:rsid w:val="004B4AC8"/>
    <w:rsid w:val="004C1326"/>
    <w:rsid w:val="004C1417"/>
    <w:rsid w:val="004C18ED"/>
    <w:rsid w:val="004C4BDC"/>
    <w:rsid w:val="004C4DD8"/>
    <w:rsid w:val="004D0EAA"/>
    <w:rsid w:val="004D108E"/>
    <w:rsid w:val="004D2A7E"/>
    <w:rsid w:val="004D7226"/>
    <w:rsid w:val="004F3C24"/>
    <w:rsid w:val="004F595D"/>
    <w:rsid w:val="004F756F"/>
    <w:rsid w:val="005001A3"/>
    <w:rsid w:val="00501CF8"/>
    <w:rsid w:val="005036DA"/>
    <w:rsid w:val="005052C9"/>
    <w:rsid w:val="005057F6"/>
    <w:rsid w:val="00506961"/>
    <w:rsid w:val="00506989"/>
    <w:rsid w:val="0051496C"/>
    <w:rsid w:val="00514B79"/>
    <w:rsid w:val="00516EB5"/>
    <w:rsid w:val="00520546"/>
    <w:rsid w:val="00520743"/>
    <w:rsid w:val="00521C79"/>
    <w:rsid w:val="00521CEE"/>
    <w:rsid w:val="00525356"/>
    <w:rsid w:val="005256AF"/>
    <w:rsid w:val="005268DA"/>
    <w:rsid w:val="00526E67"/>
    <w:rsid w:val="00530CE6"/>
    <w:rsid w:val="00531E00"/>
    <w:rsid w:val="00532C41"/>
    <w:rsid w:val="00533201"/>
    <w:rsid w:val="00540850"/>
    <w:rsid w:val="00541C4C"/>
    <w:rsid w:val="00543F98"/>
    <w:rsid w:val="00551F8F"/>
    <w:rsid w:val="0055496A"/>
    <w:rsid w:val="00557491"/>
    <w:rsid w:val="005579F6"/>
    <w:rsid w:val="0056106B"/>
    <w:rsid w:val="005708A8"/>
    <w:rsid w:val="005753F0"/>
    <w:rsid w:val="00581B12"/>
    <w:rsid w:val="00582B5F"/>
    <w:rsid w:val="00582C92"/>
    <w:rsid w:val="005849A7"/>
    <w:rsid w:val="00585266"/>
    <w:rsid w:val="00585273"/>
    <w:rsid w:val="00586A0F"/>
    <w:rsid w:val="0059122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1F6"/>
    <w:rsid w:val="0060058D"/>
    <w:rsid w:val="00600FE0"/>
    <w:rsid w:val="00601AE7"/>
    <w:rsid w:val="00602F6E"/>
    <w:rsid w:val="0060550A"/>
    <w:rsid w:val="00613C66"/>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0B6C"/>
    <w:rsid w:val="00643090"/>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CDE"/>
    <w:rsid w:val="006A1CF1"/>
    <w:rsid w:val="006A1F5B"/>
    <w:rsid w:val="006A437D"/>
    <w:rsid w:val="006A692F"/>
    <w:rsid w:val="006A72D1"/>
    <w:rsid w:val="006B2525"/>
    <w:rsid w:val="006B5B75"/>
    <w:rsid w:val="006B6F0C"/>
    <w:rsid w:val="006C0829"/>
    <w:rsid w:val="006C5DC3"/>
    <w:rsid w:val="006D2304"/>
    <w:rsid w:val="006D2A6D"/>
    <w:rsid w:val="006D2CBF"/>
    <w:rsid w:val="006D5FA3"/>
    <w:rsid w:val="006D76CD"/>
    <w:rsid w:val="006E1967"/>
    <w:rsid w:val="006E321C"/>
    <w:rsid w:val="006E4216"/>
    <w:rsid w:val="006E6C70"/>
    <w:rsid w:val="006F1AF1"/>
    <w:rsid w:val="006F1C29"/>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176FB"/>
    <w:rsid w:val="00721B29"/>
    <w:rsid w:val="00721E7C"/>
    <w:rsid w:val="00725EF5"/>
    <w:rsid w:val="00726BE5"/>
    <w:rsid w:val="00736CC6"/>
    <w:rsid w:val="00736D17"/>
    <w:rsid w:val="00741A88"/>
    <w:rsid w:val="00741D42"/>
    <w:rsid w:val="00743188"/>
    <w:rsid w:val="00744E0C"/>
    <w:rsid w:val="00744F6F"/>
    <w:rsid w:val="007452AE"/>
    <w:rsid w:val="00746B57"/>
    <w:rsid w:val="00747349"/>
    <w:rsid w:val="007508AD"/>
    <w:rsid w:val="00755030"/>
    <w:rsid w:val="00755678"/>
    <w:rsid w:val="0075613C"/>
    <w:rsid w:val="00757BB4"/>
    <w:rsid w:val="00761706"/>
    <w:rsid w:val="007626D3"/>
    <w:rsid w:val="00763114"/>
    <w:rsid w:val="00766775"/>
    <w:rsid w:val="00767578"/>
    <w:rsid w:val="00767EFD"/>
    <w:rsid w:val="00771584"/>
    <w:rsid w:val="00774294"/>
    <w:rsid w:val="00775B33"/>
    <w:rsid w:val="00780E17"/>
    <w:rsid w:val="007844BE"/>
    <w:rsid w:val="00786E71"/>
    <w:rsid w:val="00792F8A"/>
    <w:rsid w:val="00794512"/>
    <w:rsid w:val="00794A0D"/>
    <w:rsid w:val="00794A44"/>
    <w:rsid w:val="00794DF0"/>
    <w:rsid w:val="00797CC6"/>
    <w:rsid w:val="007A2B08"/>
    <w:rsid w:val="007A3826"/>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100A9"/>
    <w:rsid w:val="00811984"/>
    <w:rsid w:val="008125A7"/>
    <w:rsid w:val="00813688"/>
    <w:rsid w:val="00813C8F"/>
    <w:rsid w:val="008142FD"/>
    <w:rsid w:val="008164A1"/>
    <w:rsid w:val="00817219"/>
    <w:rsid w:val="00817A23"/>
    <w:rsid w:val="00822DA4"/>
    <w:rsid w:val="0082358A"/>
    <w:rsid w:val="00824FAD"/>
    <w:rsid w:val="0082509B"/>
    <w:rsid w:val="0082676F"/>
    <w:rsid w:val="00827C8F"/>
    <w:rsid w:val="00830EF9"/>
    <w:rsid w:val="00832F1E"/>
    <w:rsid w:val="0083685F"/>
    <w:rsid w:val="00837339"/>
    <w:rsid w:val="0083744D"/>
    <w:rsid w:val="00847AA7"/>
    <w:rsid w:val="008517E1"/>
    <w:rsid w:val="008523A6"/>
    <w:rsid w:val="00862056"/>
    <w:rsid w:val="008647B5"/>
    <w:rsid w:val="00864CBC"/>
    <w:rsid w:val="0087211E"/>
    <w:rsid w:val="00877C7C"/>
    <w:rsid w:val="00880AB2"/>
    <w:rsid w:val="00890DA4"/>
    <w:rsid w:val="0089255C"/>
    <w:rsid w:val="00892F8A"/>
    <w:rsid w:val="0089426E"/>
    <w:rsid w:val="00894280"/>
    <w:rsid w:val="008948D4"/>
    <w:rsid w:val="00897546"/>
    <w:rsid w:val="008A002B"/>
    <w:rsid w:val="008A1FB3"/>
    <w:rsid w:val="008A255F"/>
    <w:rsid w:val="008A2B76"/>
    <w:rsid w:val="008A42AD"/>
    <w:rsid w:val="008A44CF"/>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3D20"/>
    <w:rsid w:val="008E45C0"/>
    <w:rsid w:val="008E47CB"/>
    <w:rsid w:val="008E78EA"/>
    <w:rsid w:val="008E7E06"/>
    <w:rsid w:val="008F0C24"/>
    <w:rsid w:val="008F0DB6"/>
    <w:rsid w:val="008F2129"/>
    <w:rsid w:val="008F2281"/>
    <w:rsid w:val="00900D2C"/>
    <w:rsid w:val="009030AC"/>
    <w:rsid w:val="009059FB"/>
    <w:rsid w:val="00912103"/>
    <w:rsid w:val="00916CDA"/>
    <w:rsid w:val="00917064"/>
    <w:rsid w:val="0092098B"/>
    <w:rsid w:val="00920C7B"/>
    <w:rsid w:val="00922FBB"/>
    <w:rsid w:val="009264C0"/>
    <w:rsid w:val="00926614"/>
    <w:rsid w:val="0093236F"/>
    <w:rsid w:val="00932BC5"/>
    <w:rsid w:val="00932F06"/>
    <w:rsid w:val="00935192"/>
    <w:rsid w:val="009361F9"/>
    <w:rsid w:val="00936660"/>
    <w:rsid w:val="00937BF1"/>
    <w:rsid w:val="00937F0E"/>
    <w:rsid w:val="00942712"/>
    <w:rsid w:val="00943C09"/>
    <w:rsid w:val="00951444"/>
    <w:rsid w:val="00964B1D"/>
    <w:rsid w:val="009734A6"/>
    <w:rsid w:val="00975AD6"/>
    <w:rsid w:val="00976970"/>
    <w:rsid w:val="00976D4F"/>
    <w:rsid w:val="0098034C"/>
    <w:rsid w:val="0098139B"/>
    <w:rsid w:val="0098630E"/>
    <w:rsid w:val="00986635"/>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D7D"/>
    <w:rsid w:val="009C7248"/>
    <w:rsid w:val="009D4BA8"/>
    <w:rsid w:val="009D7D8D"/>
    <w:rsid w:val="009E04DD"/>
    <w:rsid w:val="009E30ED"/>
    <w:rsid w:val="009E3ACB"/>
    <w:rsid w:val="009E51CF"/>
    <w:rsid w:val="009E580E"/>
    <w:rsid w:val="009E7866"/>
    <w:rsid w:val="009F05D0"/>
    <w:rsid w:val="009F0AD9"/>
    <w:rsid w:val="009F1ABF"/>
    <w:rsid w:val="009F5DC6"/>
    <w:rsid w:val="009F771E"/>
    <w:rsid w:val="00A00C54"/>
    <w:rsid w:val="00A0258F"/>
    <w:rsid w:val="00A03E08"/>
    <w:rsid w:val="00A04FA7"/>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0050"/>
    <w:rsid w:val="00A62C43"/>
    <w:rsid w:val="00A675B4"/>
    <w:rsid w:val="00A67E15"/>
    <w:rsid w:val="00A70C5E"/>
    <w:rsid w:val="00A7225A"/>
    <w:rsid w:val="00A7510F"/>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12A0"/>
    <w:rsid w:val="00AB3514"/>
    <w:rsid w:val="00AB4FF0"/>
    <w:rsid w:val="00AB7E38"/>
    <w:rsid w:val="00AC0185"/>
    <w:rsid w:val="00AC0670"/>
    <w:rsid w:val="00AC097F"/>
    <w:rsid w:val="00AC0CAA"/>
    <w:rsid w:val="00AC3B3A"/>
    <w:rsid w:val="00AD0A11"/>
    <w:rsid w:val="00AE29F7"/>
    <w:rsid w:val="00AE4236"/>
    <w:rsid w:val="00AE51B0"/>
    <w:rsid w:val="00AF3743"/>
    <w:rsid w:val="00AF3D5A"/>
    <w:rsid w:val="00AF76F7"/>
    <w:rsid w:val="00B0428E"/>
    <w:rsid w:val="00B078EC"/>
    <w:rsid w:val="00B104BA"/>
    <w:rsid w:val="00B1182E"/>
    <w:rsid w:val="00B123C0"/>
    <w:rsid w:val="00B12648"/>
    <w:rsid w:val="00B15D1F"/>
    <w:rsid w:val="00B16A62"/>
    <w:rsid w:val="00B16BA1"/>
    <w:rsid w:val="00B20D0D"/>
    <w:rsid w:val="00B24C34"/>
    <w:rsid w:val="00B27969"/>
    <w:rsid w:val="00B30292"/>
    <w:rsid w:val="00B30409"/>
    <w:rsid w:val="00B31AA1"/>
    <w:rsid w:val="00B3232C"/>
    <w:rsid w:val="00B35201"/>
    <w:rsid w:val="00B35DEE"/>
    <w:rsid w:val="00B368BD"/>
    <w:rsid w:val="00B36C5A"/>
    <w:rsid w:val="00B40294"/>
    <w:rsid w:val="00B42CF6"/>
    <w:rsid w:val="00B4307D"/>
    <w:rsid w:val="00B43F8D"/>
    <w:rsid w:val="00B4483B"/>
    <w:rsid w:val="00B46126"/>
    <w:rsid w:val="00B50FDA"/>
    <w:rsid w:val="00B512FE"/>
    <w:rsid w:val="00B53E85"/>
    <w:rsid w:val="00B54C9E"/>
    <w:rsid w:val="00B560AA"/>
    <w:rsid w:val="00B61ED5"/>
    <w:rsid w:val="00B63086"/>
    <w:rsid w:val="00B67DC9"/>
    <w:rsid w:val="00B7385F"/>
    <w:rsid w:val="00B74EDD"/>
    <w:rsid w:val="00B80578"/>
    <w:rsid w:val="00B81E81"/>
    <w:rsid w:val="00B82E1E"/>
    <w:rsid w:val="00B82F92"/>
    <w:rsid w:val="00B85B48"/>
    <w:rsid w:val="00B86834"/>
    <w:rsid w:val="00B86897"/>
    <w:rsid w:val="00B91541"/>
    <w:rsid w:val="00B978C6"/>
    <w:rsid w:val="00BA04FA"/>
    <w:rsid w:val="00BA11F0"/>
    <w:rsid w:val="00BA13A3"/>
    <w:rsid w:val="00BA1C0F"/>
    <w:rsid w:val="00BA4BA8"/>
    <w:rsid w:val="00BA5B76"/>
    <w:rsid w:val="00BA6C68"/>
    <w:rsid w:val="00BB368C"/>
    <w:rsid w:val="00BB39B5"/>
    <w:rsid w:val="00BB74CD"/>
    <w:rsid w:val="00BB757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10807"/>
    <w:rsid w:val="00C108F7"/>
    <w:rsid w:val="00C136DA"/>
    <w:rsid w:val="00C151B5"/>
    <w:rsid w:val="00C1622F"/>
    <w:rsid w:val="00C215CE"/>
    <w:rsid w:val="00C264AE"/>
    <w:rsid w:val="00C271CB"/>
    <w:rsid w:val="00C274A5"/>
    <w:rsid w:val="00C31E7E"/>
    <w:rsid w:val="00C322E9"/>
    <w:rsid w:val="00C35F19"/>
    <w:rsid w:val="00C40262"/>
    <w:rsid w:val="00C40D77"/>
    <w:rsid w:val="00C4362F"/>
    <w:rsid w:val="00C44055"/>
    <w:rsid w:val="00C46124"/>
    <w:rsid w:val="00C5158D"/>
    <w:rsid w:val="00C5161E"/>
    <w:rsid w:val="00C54B8E"/>
    <w:rsid w:val="00C557F9"/>
    <w:rsid w:val="00C56CFE"/>
    <w:rsid w:val="00C601F3"/>
    <w:rsid w:val="00C60387"/>
    <w:rsid w:val="00C61AF2"/>
    <w:rsid w:val="00C61E0D"/>
    <w:rsid w:val="00C642B4"/>
    <w:rsid w:val="00C6550E"/>
    <w:rsid w:val="00C66D74"/>
    <w:rsid w:val="00C678D0"/>
    <w:rsid w:val="00C72957"/>
    <w:rsid w:val="00C72AC1"/>
    <w:rsid w:val="00C72B6F"/>
    <w:rsid w:val="00C76A41"/>
    <w:rsid w:val="00C76D1D"/>
    <w:rsid w:val="00C80606"/>
    <w:rsid w:val="00C83EE9"/>
    <w:rsid w:val="00C83F7B"/>
    <w:rsid w:val="00C91EE1"/>
    <w:rsid w:val="00C9290C"/>
    <w:rsid w:val="00C9346A"/>
    <w:rsid w:val="00C9396A"/>
    <w:rsid w:val="00C94045"/>
    <w:rsid w:val="00C94174"/>
    <w:rsid w:val="00C94C38"/>
    <w:rsid w:val="00C975B5"/>
    <w:rsid w:val="00CA0081"/>
    <w:rsid w:val="00CA1366"/>
    <w:rsid w:val="00CA17BB"/>
    <w:rsid w:val="00CA388A"/>
    <w:rsid w:val="00CA53DD"/>
    <w:rsid w:val="00CB0585"/>
    <w:rsid w:val="00CB7C76"/>
    <w:rsid w:val="00CC1987"/>
    <w:rsid w:val="00CC5293"/>
    <w:rsid w:val="00CC5FEC"/>
    <w:rsid w:val="00CD0C86"/>
    <w:rsid w:val="00CD10D7"/>
    <w:rsid w:val="00CD2FDC"/>
    <w:rsid w:val="00CD4CC6"/>
    <w:rsid w:val="00CE032A"/>
    <w:rsid w:val="00CF0D63"/>
    <w:rsid w:val="00CF5782"/>
    <w:rsid w:val="00CF5C38"/>
    <w:rsid w:val="00CF6EA4"/>
    <w:rsid w:val="00D027C4"/>
    <w:rsid w:val="00D039A5"/>
    <w:rsid w:val="00D04275"/>
    <w:rsid w:val="00D0752F"/>
    <w:rsid w:val="00D07E43"/>
    <w:rsid w:val="00D13E68"/>
    <w:rsid w:val="00D207FE"/>
    <w:rsid w:val="00D20ECB"/>
    <w:rsid w:val="00D22A9C"/>
    <w:rsid w:val="00D23CE2"/>
    <w:rsid w:val="00D306B4"/>
    <w:rsid w:val="00D315D9"/>
    <w:rsid w:val="00D31CCC"/>
    <w:rsid w:val="00D37234"/>
    <w:rsid w:val="00D37A98"/>
    <w:rsid w:val="00D411F0"/>
    <w:rsid w:val="00D424B5"/>
    <w:rsid w:val="00D43574"/>
    <w:rsid w:val="00D4600C"/>
    <w:rsid w:val="00D47ECA"/>
    <w:rsid w:val="00D5314D"/>
    <w:rsid w:val="00D54324"/>
    <w:rsid w:val="00D5441B"/>
    <w:rsid w:val="00D548D6"/>
    <w:rsid w:val="00D56098"/>
    <w:rsid w:val="00D5682F"/>
    <w:rsid w:val="00D64266"/>
    <w:rsid w:val="00D651BE"/>
    <w:rsid w:val="00D71D98"/>
    <w:rsid w:val="00D7594C"/>
    <w:rsid w:val="00D80458"/>
    <w:rsid w:val="00D81065"/>
    <w:rsid w:val="00D82507"/>
    <w:rsid w:val="00D85A41"/>
    <w:rsid w:val="00D90EF4"/>
    <w:rsid w:val="00D93431"/>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D0097"/>
    <w:rsid w:val="00DD1560"/>
    <w:rsid w:val="00DD2460"/>
    <w:rsid w:val="00DD2F6F"/>
    <w:rsid w:val="00DD3391"/>
    <w:rsid w:val="00DD5381"/>
    <w:rsid w:val="00DD7B80"/>
    <w:rsid w:val="00DE0DA6"/>
    <w:rsid w:val="00DE32CE"/>
    <w:rsid w:val="00DE3C38"/>
    <w:rsid w:val="00DE7119"/>
    <w:rsid w:val="00DF098F"/>
    <w:rsid w:val="00DF0ED4"/>
    <w:rsid w:val="00DF356B"/>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F0"/>
    <w:rsid w:val="00E304F1"/>
    <w:rsid w:val="00E328CC"/>
    <w:rsid w:val="00E37B8C"/>
    <w:rsid w:val="00E41969"/>
    <w:rsid w:val="00E41FF8"/>
    <w:rsid w:val="00E446A7"/>
    <w:rsid w:val="00E44741"/>
    <w:rsid w:val="00E47250"/>
    <w:rsid w:val="00E50F87"/>
    <w:rsid w:val="00E612CB"/>
    <w:rsid w:val="00E64566"/>
    <w:rsid w:val="00E64A66"/>
    <w:rsid w:val="00E650E1"/>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316B"/>
    <w:rsid w:val="00E93465"/>
    <w:rsid w:val="00E94E72"/>
    <w:rsid w:val="00E96DB7"/>
    <w:rsid w:val="00EA0A04"/>
    <w:rsid w:val="00EA0A10"/>
    <w:rsid w:val="00EA42BE"/>
    <w:rsid w:val="00EA5A2B"/>
    <w:rsid w:val="00EB22D4"/>
    <w:rsid w:val="00EB3B77"/>
    <w:rsid w:val="00EB4BCE"/>
    <w:rsid w:val="00EB4DC1"/>
    <w:rsid w:val="00EB726D"/>
    <w:rsid w:val="00EB786B"/>
    <w:rsid w:val="00EC0B0D"/>
    <w:rsid w:val="00EC0C73"/>
    <w:rsid w:val="00EC190D"/>
    <w:rsid w:val="00EC1F4C"/>
    <w:rsid w:val="00EC55E8"/>
    <w:rsid w:val="00EC5B90"/>
    <w:rsid w:val="00ED01B6"/>
    <w:rsid w:val="00ED1710"/>
    <w:rsid w:val="00ED49B8"/>
    <w:rsid w:val="00ED4E41"/>
    <w:rsid w:val="00EE0DBB"/>
    <w:rsid w:val="00EE4363"/>
    <w:rsid w:val="00EF3895"/>
    <w:rsid w:val="00EF39BE"/>
    <w:rsid w:val="00EF6BD5"/>
    <w:rsid w:val="00EF7093"/>
    <w:rsid w:val="00F00A2C"/>
    <w:rsid w:val="00F01B8A"/>
    <w:rsid w:val="00F0407F"/>
    <w:rsid w:val="00F040B2"/>
    <w:rsid w:val="00F061DF"/>
    <w:rsid w:val="00F06823"/>
    <w:rsid w:val="00F12428"/>
    <w:rsid w:val="00F12A50"/>
    <w:rsid w:val="00F15B13"/>
    <w:rsid w:val="00F177B8"/>
    <w:rsid w:val="00F2103C"/>
    <w:rsid w:val="00F228D1"/>
    <w:rsid w:val="00F25FD8"/>
    <w:rsid w:val="00F27E2A"/>
    <w:rsid w:val="00F33444"/>
    <w:rsid w:val="00F33897"/>
    <w:rsid w:val="00F34A67"/>
    <w:rsid w:val="00F35FEC"/>
    <w:rsid w:val="00F408F2"/>
    <w:rsid w:val="00F42155"/>
    <w:rsid w:val="00F4285C"/>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664A5"/>
    <w:rsid w:val="00F6690B"/>
    <w:rsid w:val="00F700C9"/>
    <w:rsid w:val="00F740D9"/>
    <w:rsid w:val="00F82162"/>
    <w:rsid w:val="00F86376"/>
    <w:rsid w:val="00F865AF"/>
    <w:rsid w:val="00F86BCD"/>
    <w:rsid w:val="00F910F2"/>
    <w:rsid w:val="00F92BA0"/>
    <w:rsid w:val="00F949FD"/>
    <w:rsid w:val="00F958BD"/>
    <w:rsid w:val="00F95EA2"/>
    <w:rsid w:val="00F97D76"/>
    <w:rsid w:val="00FA0190"/>
    <w:rsid w:val="00FA3CF7"/>
    <w:rsid w:val="00FA5DB0"/>
    <w:rsid w:val="00FA789F"/>
    <w:rsid w:val="00FB08FD"/>
    <w:rsid w:val="00FB1947"/>
    <w:rsid w:val="00FB2D64"/>
    <w:rsid w:val="00FB6732"/>
    <w:rsid w:val="00FB7C41"/>
    <w:rsid w:val="00FC0D1B"/>
    <w:rsid w:val="00FC1C09"/>
    <w:rsid w:val="00FC281B"/>
    <w:rsid w:val="00FC3258"/>
    <w:rsid w:val="00FC692C"/>
    <w:rsid w:val="00FC69A8"/>
    <w:rsid w:val="00FD1D04"/>
    <w:rsid w:val="00FD32D1"/>
    <w:rsid w:val="00FD34FB"/>
    <w:rsid w:val="00FD4B94"/>
    <w:rsid w:val="00FD664B"/>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
    <w:basedOn w:val="Normal"/>
    <w:next w:val="Normal"/>
    <w:link w:val="CaptionChar"/>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character" w:customStyle="1" w:styleId="CaptionChar">
    <w:name w:val="Caption Char"/>
    <w:aliases w:val="cap Char"/>
    <w:link w:val="Caption"/>
    <w:rsid w:val="00F664A5"/>
    <w:rPr>
      <w:rFonts w:ascii="Arial" w:eastAsia="Times New Roman" w:hAnsi="Arial" w:cs="Times New Roman"/>
      <w:b/>
      <w:bCs/>
      <w:sz w:val="20"/>
      <w:szCs w:val="20"/>
      <w:lang w:val="en-GB" w:eastAsia="zh-CN"/>
    </w:rPr>
  </w:style>
  <w:style w:type="paragraph" w:customStyle="1" w:styleId="References">
    <w:name w:val="References"/>
    <w:basedOn w:val="Normal"/>
    <w:rsid w:val="00F25FD8"/>
    <w:pPr>
      <w:numPr>
        <w:numId w:val="41"/>
      </w:numPr>
      <w:overflowPunct/>
      <w:adjustRightInd/>
      <w:snapToGrid w:val="0"/>
      <w:spacing w:after="60"/>
      <w:textAlignment w:val="auto"/>
    </w:pPr>
    <w:rPr>
      <w:rFonts w:ascii="Times New Roman" w:eastAsia="SimSun" w:hAnsi="Times New Roman"/>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
    <w:basedOn w:val="Normal"/>
    <w:next w:val="Normal"/>
    <w:link w:val="CaptionChar"/>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character" w:customStyle="1" w:styleId="CaptionChar">
    <w:name w:val="Caption Char"/>
    <w:aliases w:val="cap Char"/>
    <w:link w:val="Caption"/>
    <w:rsid w:val="00F664A5"/>
    <w:rPr>
      <w:rFonts w:ascii="Arial" w:eastAsia="Times New Roman" w:hAnsi="Arial" w:cs="Times New Roman"/>
      <w:b/>
      <w:bCs/>
      <w:sz w:val="20"/>
      <w:szCs w:val="20"/>
      <w:lang w:val="en-GB" w:eastAsia="zh-CN"/>
    </w:rPr>
  </w:style>
  <w:style w:type="paragraph" w:customStyle="1" w:styleId="References">
    <w:name w:val="References"/>
    <w:basedOn w:val="Normal"/>
    <w:rsid w:val="00F25FD8"/>
    <w:pPr>
      <w:numPr>
        <w:numId w:val="41"/>
      </w:numPr>
      <w:overflowPunct/>
      <w:adjustRightInd/>
      <w:snapToGrid w:val="0"/>
      <w:spacing w:after="60"/>
      <w:textAlignment w:val="auto"/>
    </w:pPr>
    <w:rPr>
      <w:rFonts w:ascii="Times New Roman" w:eastAsia="SimSu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19495">
      <w:bodyDiv w:val="1"/>
      <w:marLeft w:val="0"/>
      <w:marRight w:val="0"/>
      <w:marTop w:val="0"/>
      <w:marBottom w:val="0"/>
      <w:divBdr>
        <w:top w:val="none" w:sz="0" w:space="0" w:color="auto"/>
        <w:left w:val="none" w:sz="0" w:space="0" w:color="auto"/>
        <w:bottom w:val="none" w:sz="0" w:space="0" w:color="auto"/>
        <w:right w:val="none" w:sz="0" w:space="0" w:color="auto"/>
      </w:divBdr>
    </w:div>
    <w:div w:id="388650633">
      <w:bodyDiv w:val="1"/>
      <w:marLeft w:val="0"/>
      <w:marRight w:val="0"/>
      <w:marTop w:val="0"/>
      <w:marBottom w:val="0"/>
      <w:divBdr>
        <w:top w:val="none" w:sz="0" w:space="0" w:color="auto"/>
        <w:left w:val="none" w:sz="0" w:space="0" w:color="auto"/>
        <w:bottom w:val="none" w:sz="0" w:space="0" w:color="auto"/>
        <w:right w:val="none" w:sz="0" w:space="0" w:color="auto"/>
      </w:divBdr>
    </w:div>
    <w:div w:id="405499433">
      <w:bodyDiv w:val="1"/>
      <w:marLeft w:val="0"/>
      <w:marRight w:val="0"/>
      <w:marTop w:val="0"/>
      <w:marBottom w:val="0"/>
      <w:divBdr>
        <w:top w:val="none" w:sz="0" w:space="0" w:color="auto"/>
        <w:left w:val="none" w:sz="0" w:space="0" w:color="auto"/>
        <w:bottom w:val="none" w:sz="0" w:space="0" w:color="auto"/>
        <w:right w:val="none" w:sz="0" w:space="0" w:color="auto"/>
      </w:divBdr>
    </w:div>
    <w:div w:id="516505898">
      <w:bodyDiv w:val="1"/>
      <w:marLeft w:val="0"/>
      <w:marRight w:val="0"/>
      <w:marTop w:val="0"/>
      <w:marBottom w:val="0"/>
      <w:divBdr>
        <w:top w:val="none" w:sz="0" w:space="0" w:color="auto"/>
        <w:left w:val="none" w:sz="0" w:space="0" w:color="auto"/>
        <w:bottom w:val="none" w:sz="0" w:space="0" w:color="auto"/>
        <w:right w:val="none" w:sz="0" w:space="0" w:color="auto"/>
      </w:divBdr>
    </w:div>
    <w:div w:id="516819924">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69530751">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0222613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BA2B3-CB75-47FA-B7E5-D3A0ED689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5</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31</cp:revision>
  <cp:lastPrinted>2015-07-20T19:34:00Z</cp:lastPrinted>
  <dcterms:created xsi:type="dcterms:W3CDTF">2015-11-05T18:39:00Z</dcterms:created>
  <dcterms:modified xsi:type="dcterms:W3CDTF">2015-11-07T01:04:00Z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